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913" w:rsidRDefault="00AF4410" w:rsidP="00AF4410">
      <w:pPr>
        <w:pStyle w:val="Title"/>
        <w:spacing w:before="0"/>
      </w:pPr>
      <w:r>
        <w:t xml:space="preserve">URINARY VITAMIN D BINDING PROTEIN </w:t>
      </w:r>
      <w:r w:rsidR="001A75C6">
        <w:t>UPDATES FROM CONFERENCE CALL</w:t>
      </w:r>
    </w:p>
    <w:p w:rsidR="00C13913" w:rsidRPr="00D71938" w:rsidRDefault="001A75C6">
      <w:pPr>
        <w:pStyle w:val="Author"/>
        <w:rPr>
          <w:lang w:val="en-CA"/>
        </w:rPr>
      </w:pPr>
      <w:r>
        <w:t>WINDY WANG</w:t>
      </w:r>
    </w:p>
    <w:p w:rsidR="00C13913" w:rsidRDefault="001A75C6">
      <w:pPr>
        <w:pStyle w:val="Date"/>
      </w:pPr>
      <w:r>
        <w:t>May 17, 2016</w:t>
      </w:r>
    </w:p>
    <w:p w:rsidR="005D222D" w:rsidRDefault="001A75C6" w:rsidP="005D222D">
      <w:pPr>
        <w:pStyle w:val="FirstParagraph"/>
        <w:jc w:val="center"/>
      </w:pPr>
      <w:r>
        <w:rPr>
          <w:noProof/>
          <w:lang w:val="en-CA" w:eastAsia="en-CA"/>
        </w:rPr>
        <w:drawing>
          <wp:inline distT="0" distB="0" distL="0" distR="0">
            <wp:extent cx="4667250" cy="28670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nsitivityAnalysis_files/figure-docx/distribution-1.png"/>
                    <pic:cNvPicPr>
                      <a:picLocks noChangeAspect="1" noChangeArrowheads="1"/>
                    </pic:cNvPicPr>
                  </pic:nvPicPr>
                  <pic:blipFill>
                    <a:blip r:embed="rId7"/>
                    <a:stretch>
                      <a:fillRect/>
                    </a:stretch>
                  </pic:blipFill>
                  <pic:spPr bwMode="auto">
                    <a:xfrm>
                      <a:off x="0" y="0"/>
                      <a:ext cx="4667250" cy="2867025"/>
                    </a:xfrm>
                    <a:prstGeom prst="rect">
                      <a:avLst/>
                    </a:prstGeom>
                    <a:noFill/>
                    <a:ln w="9525">
                      <a:noFill/>
                      <a:headEnd/>
                      <a:tailEnd/>
                    </a:ln>
                  </pic:spPr>
                </pic:pic>
              </a:graphicData>
            </a:graphic>
          </wp:inline>
        </w:drawing>
      </w:r>
    </w:p>
    <w:p w:rsidR="00C13913" w:rsidRDefault="001A75C6">
      <w:pPr>
        <w:pStyle w:val="FirstParagraph"/>
        <w:rPr>
          <w:i/>
        </w:rPr>
      </w:pPr>
      <w:r w:rsidRPr="005D222D">
        <w:rPr>
          <w:i/>
        </w:rPr>
        <w:t>FIGURE 1. Distribution of urinary vitamin D binding protein after excluding two hemolysed samples (n=739)</w:t>
      </w:r>
      <w:r w:rsidR="00C8671D">
        <w:rPr>
          <w:i/>
        </w:rPr>
        <w:t>.</w:t>
      </w:r>
    </w:p>
    <w:p w:rsidR="005D222D" w:rsidRPr="005D222D" w:rsidRDefault="005D222D" w:rsidP="005D222D">
      <w:pPr>
        <w:pStyle w:val="BodyText"/>
      </w:pPr>
    </w:p>
    <w:p w:rsidR="005D222D" w:rsidRDefault="001A75C6">
      <w:pPr>
        <w:pStyle w:val="BodyText"/>
      </w:pPr>
      <w:r>
        <w:t xml:space="preserve">As observed from </w:t>
      </w:r>
      <w:r w:rsidRPr="005D222D">
        <w:rPr>
          <w:i/>
        </w:rPr>
        <w:t>Figure 1</w:t>
      </w:r>
      <w:r>
        <w:t xml:space="preserve">, there still appear to be two subjects with very high urinary vitamin D binding protein (UDBP) concentrations (&gt;1000 ng/mL), even though their samples were not marked as hemolysed. There were only two subjects with hemolysed samples for baseline measures; the UDBP concentration values were 2867 ng/mL and 128 ng/mL. Unfortunately, it appears that hemolysed samples are not fully able to explain the right skew at baseline. However, taking a look at the samples from </w:t>
      </w:r>
      <w:r w:rsidR="00BA29C5">
        <w:t xml:space="preserve">the </w:t>
      </w:r>
      <w:r>
        <w:t>3 year and 6 year visits, it appears that all samples marked as hemolysed tended to have extremely high UDBP concentrations, as expected. The only anomaly to that pattern was subject 2124 at baseline, with a value of 128 ng/mL as noted above.</w:t>
      </w:r>
      <w:r w:rsidR="00D71938">
        <w:t xml:space="preserve"> </w:t>
      </w:r>
      <w:bookmarkStart w:id="0" w:name="_GoBack"/>
      <w:bookmarkEnd w:id="0"/>
    </w:p>
    <w:p w:rsidR="005D222D" w:rsidRDefault="005D222D" w:rsidP="005D222D">
      <w:pPr>
        <w:pStyle w:val="BodyText"/>
      </w:pPr>
      <w:r>
        <w:br w:type="page"/>
      </w:r>
    </w:p>
    <w:p w:rsidR="00C13913" w:rsidRDefault="001A75C6">
      <w:pPr>
        <w:pStyle w:val="TableCaption"/>
      </w:pPr>
      <w:r>
        <w:lastRenderedPageBreak/>
        <w:t xml:space="preserve">TABLE 1. Subject </w:t>
      </w:r>
      <w:r w:rsidR="00091E96">
        <w:t>characteristics</w:t>
      </w:r>
      <w:r>
        <w:t xml:space="preserve"> according to UDBP concentration categories after exclusion of hemolysed samples. Samples with values below the lower detection limit of the assay was further subcategorized.</w:t>
      </w:r>
    </w:p>
    <w:tbl>
      <w:tblPr>
        <w:tblStyle w:val="PlainTable1"/>
        <w:tblW w:w="5223" w:type="pct"/>
        <w:tblInd w:w="0" w:type="dxa"/>
        <w:tblLook w:val="06A0" w:firstRow="1" w:lastRow="0" w:firstColumn="1" w:lastColumn="0" w:noHBand="1" w:noVBand="1"/>
      </w:tblPr>
      <w:tblGrid>
        <w:gridCol w:w="1480"/>
        <w:gridCol w:w="1741"/>
        <w:gridCol w:w="1681"/>
        <w:gridCol w:w="1603"/>
        <w:gridCol w:w="1634"/>
        <w:gridCol w:w="1628"/>
      </w:tblGrid>
      <w:tr w:rsidR="005D222D" w:rsidTr="00BA29C5">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D222D" w:rsidRDefault="005D222D">
            <w:pPr>
              <w:pStyle w:val="Compact"/>
            </w:pP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Undetectable (n=12)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Low UDBP (n=57)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Normal UDBP (n=360)</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5D222D" w:rsidRP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rsidRPr="005D222D">
              <w:t>High UDBP (n=310)</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Age (years)</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48.7 (11.4)</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47.8 (9.2)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50.4 (10.1)</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49.6 (10.0)</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727"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Ethnicity (%)</w:t>
            </w:r>
            <w:r w:rsidR="005B1595">
              <w:t>*</w:t>
            </w:r>
          </w:p>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European</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6 (50%)</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32 (56.1%)</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238 (66.1%)</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205 (66.1%)</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Latino/a</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6 (50%)</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10 (17.5%)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55 (15.3%)</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42 (13.5%)</w:t>
            </w:r>
          </w:p>
        </w:tc>
      </w:tr>
      <w:tr w:rsidR="00657963" w:rsidTr="00EF7368">
        <w:trPr>
          <w:trHeight w:val="469"/>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Other</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jc w:val="center"/>
              <w:cnfStyle w:val="000000000000" w:firstRow="0" w:lastRow="0" w:firstColumn="0" w:lastColumn="0" w:oddVBand="0" w:evenVBand="0" w:oddHBand="0" w:evenHBand="0" w:firstRowFirstColumn="0" w:firstRowLastColumn="0" w:lastRowFirstColumn="0" w:lastRowLastColumn="0"/>
            </w:pPr>
            <w:r>
              <w:t>-</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10 (17.5%)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35 (9.7%)</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43 (13.9%)</w:t>
            </w:r>
          </w:p>
        </w:tc>
      </w:tr>
      <w:tr w:rsidR="00657963" w:rsidTr="00EF7368">
        <w:trPr>
          <w:trHeight w:val="484"/>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South Asian</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jc w:val="center"/>
              <w:cnfStyle w:val="000000000000" w:firstRow="0" w:lastRow="0" w:firstColumn="0" w:lastColumn="0" w:oddVBand="0" w:evenVBand="0" w:oddHBand="0" w:evenHBand="0" w:firstRowFirstColumn="0" w:firstRowLastColumn="0" w:lastRowFirstColumn="0" w:lastRowLastColumn="0"/>
            </w:pPr>
            <w:r>
              <w:t>-</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5 (8.8%)</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32 (8.9%)</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20 (6.5%)</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727"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Sex (%)</w:t>
            </w:r>
            <w:r w:rsidR="005B1595">
              <w:t>*</w:t>
            </w:r>
          </w:p>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Female</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7 (58.3%)</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32 (56.1%)</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262 (72.8%)</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202 (65.2%)</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cnfStyle w:val="000000000000" w:firstRow="0" w:lastRow="0" w:firstColumn="0" w:lastColumn="0" w:oddVBand="0" w:evenVBand="0" w:oddHBand="0" w:evenHBand="0" w:firstRowFirstColumn="0" w:firstRowLastColumn="0" w:lastRowFirstColumn="0" w:lastRowLastColumn="0"/>
            </w:pPr>
            <w:r>
              <w:t>Male</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5 (41.7%)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25 (43.9%)</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98 (27.2%)</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108 (34.8%)</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Pr="005D222D" w:rsidRDefault="00657963" w:rsidP="00657963">
            <w:pPr>
              <w:pStyle w:val="Compact"/>
            </w:pPr>
            <w:r>
              <w:t>BMI (kg/m</w:t>
            </w:r>
            <w:r>
              <w:rPr>
                <w:vertAlign w:val="superscript"/>
              </w:rPr>
              <w:t>2</w:t>
            </w:r>
            <w:r>
              <w:t>)</w:t>
            </w:r>
            <w:r w:rsidR="006D4D8E">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32.9 (10.2)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33.0 (7.0)</w:t>
            </w:r>
            <w:r w:rsidR="006D4D8E">
              <w:rPr>
                <w:vertAlign w:val="superscript"/>
              </w:rPr>
              <w:t>a</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30.0 (6.2)</w:t>
            </w:r>
            <w:r w:rsidR="006D4D8E">
              <w:rPr>
                <w:vertAlign w:val="superscript"/>
              </w:rPr>
              <w:t>ab</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32.0 (5.8)</w:t>
            </w:r>
            <w:r w:rsidR="006D4D8E">
              <w:rPr>
                <w:vertAlign w:val="superscript"/>
              </w:rPr>
              <w:t>b</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Waist circumference(cm)</w:t>
            </w:r>
            <w:r w:rsidR="006D4D8E">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97.5 (22.9)</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105.4 (17.5)</w:t>
            </w:r>
            <w:r w:rsidR="006D4D8E">
              <w:rPr>
                <w:vertAlign w:val="superscript"/>
              </w:rPr>
              <w:t>a</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96.1 (15.3)</w:t>
            </w:r>
            <w:r w:rsidR="006D4D8E">
              <w:rPr>
                <w:vertAlign w:val="superscript"/>
              </w:rPr>
              <w:t>ab</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101.2 (14.1)</w:t>
            </w:r>
            <w:r w:rsidR="006D4D8E">
              <w:rPr>
                <w:vertAlign w:val="superscript"/>
              </w:rPr>
              <w:t>b</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Pr="005D222D" w:rsidRDefault="00657963" w:rsidP="00657963">
            <w:pPr>
              <w:pStyle w:val="Compact"/>
            </w:pPr>
            <w:r>
              <w:t>Estimated GFR (mL/min/1.73m</w:t>
            </w:r>
            <w:r>
              <w:rPr>
                <w:vertAlign w:val="superscript"/>
              </w:rPr>
              <w:t>2</w:t>
            </w:r>
            <w:r>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98.9 (13.2)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106.2 (12.5)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105.0 (14.6)</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104.4 (14.6)</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Microalbumin:Creatinine</w:t>
            </w:r>
            <w:r w:rsidR="006D4D8E">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0.7 (0.4)</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0.6 (0.4)</w:t>
            </w:r>
            <w:r w:rsidR="006D4D8E">
              <w:rPr>
                <w:vertAlign w:val="superscript"/>
              </w:rPr>
              <w:t>a</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1.1 (2.7)</w:t>
            </w:r>
            <w:r w:rsidR="006D4D8E">
              <w:rPr>
                <w:vertAlign w:val="superscript"/>
              </w:rPr>
              <w:t>ab</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6D4D8E"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1.8 (7.1)</w:t>
            </w:r>
            <w:r w:rsidR="006D4D8E">
              <w:rPr>
                <w:vertAlign w:val="superscript"/>
              </w:rPr>
              <w:t>b</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Urinary creatinine (mmol/L)</w:t>
            </w:r>
            <w:r w:rsidR="006D4D8E">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12.1 (3.3)</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13.5 (5.6)</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C74EE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8.8 (5.2)</w:t>
            </w:r>
            <w:r w:rsidR="00C74EED">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C74EE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14.9 (6.2)</w:t>
            </w:r>
            <w:r w:rsidR="00C74EED">
              <w:rPr>
                <w:vertAlign w:val="superscript"/>
              </w:rPr>
              <w:t>a</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Urinary albumin (mg/L)</w:t>
            </w:r>
            <w:r w:rsidR="00C74EED">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8.2 (5.2)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6.7 (5.1)</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6.1 (10.6)</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21.2 (99.9)</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 xml:space="preserve">Serum creatinine (μmol/L) </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76.5 (14.5)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71.2 (11.3)</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69.3 (13.4)</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70.6 (13.7)</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Serum 25(OH)D (nmol/L)</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51.0 (20.7)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48.3 (20.3)</w:t>
            </w:r>
            <w:r w:rsidR="005B1595">
              <w:rPr>
                <w:vertAlign w:val="superscript"/>
              </w:rPr>
              <w:t>a</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57.9 (23.7)</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D222D"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54.3 (22.5)</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Diastolic blood pressure (mmHg)</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77.1 (10.1)</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80.7 (9.7)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78.7 (9.5)</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81.7 (11.1)</w:t>
            </w:r>
            <w:r w:rsidR="005B1595">
              <w:rPr>
                <w:vertAlign w:val="superscript"/>
              </w:rPr>
              <w:t>a</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Mean arterial pressure (mmHg)</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92.0 (10.7)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95.7 (10.5)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94.0 (10.9)</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97.2 (11.9)</w:t>
            </w:r>
            <w:r w:rsidR="005B1595">
              <w:rPr>
                <w:vertAlign w:val="superscript"/>
              </w:rPr>
              <w:t>a</w:t>
            </w:r>
          </w:p>
        </w:tc>
      </w:tr>
      <w:tr w:rsidR="00657963" w:rsidTr="00EF7368">
        <w:trPr>
          <w:trHeight w:val="352"/>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Systolic blood pressure (mmHg)</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121.7 (13.2)</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125.7 (13.9)</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124.6 (16.2)</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128.1 (16.0)</w:t>
            </w:r>
            <w:r w:rsidR="005B1595">
              <w:rPr>
                <w:vertAlign w:val="superscript"/>
              </w:rPr>
              <w:t>a</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Parathyroid Hormone (pmol/L)</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4.7 (1.8)</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4.7 (1.8)</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4.2 (1.5)</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4.9 (1.8)</w:t>
            </w:r>
            <w:r w:rsidR="005B1595">
              <w:rPr>
                <w:vertAlign w:val="superscript"/>
              </w:rPr>
              <w:t>a</w:t>
            </w:r>
          </w:p>
        </w:tc>
      </w:tr>
      <w:tr w:rsidR="00657963" w:rsidTr="00EF7368">
        <w:trPr>
          <w:trHeight w:val="337"/>
        </w:trPr>
        <w:tc>
          <w:tcPr>
            <w:cnfStyle w:val="001000000000" w:firstRow="0" w:lastRow="0" w:firstColumn="1" w:lastColumn="0" w:oddVBand="0" w:evenVBand="0" w:oddHBand="0" w:evenHBand="0" w:firstRowFirstColumn="0" w:firstRowLastColumn="0" w:lastRowFirstColumn="0" w:lastRowLastColumn="0"/>
            <w:tcW w:w="1583"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57963" w:rsidRDefault="00657963" w:rsidP="00657963">
            <w:pPr>
              <w:pStyle w:val="Compact"/>
            </w:pPr>
            <w:r>
              <w:t>Serum ALT (U/L)</w:t>
            </w:r>
            <w:r w:rsidR="005B1595">
              <w: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pPr>
            <w:r>
              <w:t>38.3 (13.5)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36.5 (25.4)</w:t>
            </w:r>
            <w:r w:rsidR="005B1595">
              <w:rPr>
                <w:vertAlign w:val="superscript"/>
              </w:rPr>
              <w:t>a</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32.5 (14.3)</w:t>
            </w:r>
            <w:r w:rsidR="005B1595">
              <w:rPr>
                <w:vertAlign w:val="superscript"/>
              </w:rPr>
              <w:t>a</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57963" w:rsidRPr="005B1595" w:rsidRDefault="00657963" w:rsidP="00EF7368">
            <w:pPr>
              <w:pStyle w:val="Compact"/>
              <w:jc w:val="center"/>
              <w:cnfStyle w:val="000000000000" w:firstRow="0" w:lastRow="0" w:firstColumn="0" w:lastColumn="0" w:oddVBand="0" w:evenVBand="0" w:oddHBand="0" w:evenHBand="0" w:firstRowFirstColumn="0" w:firstRowLastColumn="0" w:lastRowFirstColumn="0" w:lastRowLastColumn="0"/>
              <w:rPr>
                <w:bCs/>
                <w:vertAlign w:val="superscript"/>
              </w:rPr>
            </w:pPr>
            <w:r w:rsidRPr="005D222D">
              <w:t>33.7 (18.4)</w:t>
            </w:r>
          </w:p>
        </w:tc>
      </w:tr>
      <w:tr w:rsidR="00EF7368" w:rsidTr="00EF7368">
        <w:trPr>
          <w:trHeight w:val="352"/>
        </w:trPr>
        <w:tc>
          <w:tcPr>
            <w:cnfStyle w:val="001000000000" w:firstRow="0" w:lastRow="0" w:firstColumn="1" w:lastColumn="0" w:oddVBand="0" w:evenVBand="0" w:oddHBand="0" w:evenHBand="0" w:firstRowFirstColumn="0" w:firstRowLastColumn="0" w:lastRowFirstColumn="0" w:lastRowLastColumn="0"/>
            <w:tcW w:w="727" w:type="pct"/>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EF7368" w:rsidRDefault="00EF7368" w:rsidP="00CC3D0D">
            <w:pPr>
              <w:pStyle w:val="Compact"/>
            </w:pPr>
            <w:r>
              <w:t>Blood glucose (mmol/L)</w:t>
            </w:r>
          </w:p>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F7368" w:rsidRPr="00EF7368" w:rsidRDefault="00EF7368" w:rsidP="00EF7368">
            <w:pPr>
              <w:cnfStyle w:val="000000000000" w:firstRow="0" w:lastRow="0" w:firstColumn="0" w:lastColumn="0" w:oddVBand="0" w:evenVBand="0" w:oddHBand="0" w:evenHBand="0" w:firstRowFirstColumn="0" w:firstRowLastColumn="0" w:lastRowFirstColumn="0" w:lastRowLastColumn="0"/>
            </w:pPr>
            <w:r w:rsidRPr="005B7A99">
              <w:t>Fasting</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5.0 (0.5)</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5.4 (1.1)</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5.1 (0.9)</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Pr="005D222D"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5.1 (0.9)</w:t>
            </w:r>
          </w:p>
        </w:tc>
      </w:tr>
      <w:tr w:rsidR="00EF7368" w:rsidTr="00EF7368">
        <w:trPr>
          <w:trHeight w:val="352"/>
        </w:trPr>
        <w:tc>
          <w:tcPr>
            <w:cnfStyle w:val="001000000000" w:firstRow="0" w:lastRow="0" w:firstColumn="1" w:lastColumn="0" w:oddVBand="0" w:evenVBand="0" w:oddHBand="0" w:evenHBand="0" w:firstRowFirstColumn="0" w:firstRowLastColumn="0" w:lastRowFirstColumn="0" w:lastRowLastColumn="0"/>
            <w:tcW w:w="727" w:type="pct"/>
            <w:vMerge/>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EF7368" w:rsidRDefault="00EF7368" w:rsidP="00CC3D0D">
            <w:pPr>
              <w:pStyle w:val="Compact"/>
            </w:pPr>
          </w:p>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F7368" w:rsidRDefault="00EF7368" w:rsidP="00CC3D0D">
            <w:pPr>
              <w:pStyle w:val="Compact"/>
              <w:cnfStyle w:val="000000000000" w:firstRow="0" w:lastRow="0" w:firstColumn="0" w:lastColumn="0" w:oddVBand="0" w:evenVBand="0" w:oddHBand="0" w:evenHBand="0" w:firstRowFirstColumn="0" w:firstRowLastColumn="0" w:lastRowFirstColumn="0" w:lastRowLastColumn="0"/>
              <w:rPr>
                <w:b/>
                <w:bCs/>
              </w:rPr>
            </w:pPr>
            <w:r w:rsidRPr="005B7A99">
              <w:rPr>
                <w:bCs/>
              </w:rPr>
              <w:t>2h OGTT</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5.4 (1.6)</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7.2 (3.9)</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pPr>
            <w:r>
              <w:t>6.4 (2.5)</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EF7368" w:rsidRPr="005D222D" w:rsidRDefault="00EF7368"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6.7 (3.2)</w:t>
            </w:r>
          </w:p>
        </w:tc>
      </w:tr>
      <w:tr w:rsidR="00CC3D0D" w:rsidTr="00EF7368">
        <w:trPr>
          <w:trHeight w:val="469"/>
        </w:trPr>
        <w:tc>
          <w:tcPr>
            <w:cnfStyle w:val="001000000000" w:firstRow="0" w:lastRow="0" w:firstColumn="1" w:lastColumn="0" w:oddVBand="0" w:evenVBand="0" w:oddHBand="0" w:evenHBand="0" w:firstRowFirstColumn="0" w:firstRowLastColumn="0" w:lastRowFirstColumn="0" w:lastRowLastColumn="0"/>
            <w:tcW w:w="727"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Default="00CC3D0D" w:rsidP="00CC3D0D">
            <w:pPr>
              <w:pStyle w:val="Compact"/>
            </w:pPr>
            <w:r>
              <w:t>Diabetic Status</w:t>
            </w:r>
            <w:r w:rsidR="005B1595">
              <w:t>*</w:t>
            </w:r>
          </w:p>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Pr="005B7A99" w:rsidRDefault="00CC3D0D" w:rsidP="00CC3D0D">
            <w:pPr>
              <w:pStyle w:val="Compact"/>
              <w:cnfStyle w:val="000000000000" w:firstRow="0" w:lastRow="0" w:firstColumn="0" w:lastColumn="0" w:oddVBand="0" w:evenVBand="0" w:oddHBand="0" w:evenHBand="0" w:firstRowFirstColumn="0" w:firstRowLastColumn="0" w:lastRowFirstColumn="0" w:lastRowLastColumn="0"/>
            </w:pPr>
            <w:r w:rsidRPr="005B7A99">
              <w:t>Diabetes</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jc w:val="center"/>
              <w:cnfStyle w:val="000000000000" w:firstRow="0" w:lastRow="0" w:firstColumn="0" w:lastColumn="0" w:oddVBand="0" w:evenVBand="0" w:oddHBand="0" w:evenHBand="0" w:firstRowFirstColumn="0" w:firstRowLastColumn="0" w:lastRowFirstColumn="0" w:lastRowLastColumn="0"/>
            </w:pPr>
            <w:r>
              <w:t>-</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pPr>
            <w:r>
              <w:t>13 (22.8%)</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pPr>
            <w:r>
              <w:t>32 (8.9%)</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45 (14.5%)</w:t>
            </w:r>
          </w:p>
        </w:tc>
      </w:tr>
      <w:tr w:rsidR="00CC3D0D" w:rsidTr="00EF7368">
        <w:trPr>
          <w:trHeight w:val="337"/>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Default="00CC3D0D" w:rsidP="00CC3D0D"/>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Default="00CC3D0D" w:rsidP="00CC3D0D">
            <w:pPr>
              <w:pStyle w:val="Compact"/>
              <w:cnfStyle w:val="000000000000" w:firstRow="0" w:lastRow="0" w:firstColumn="0" w:lastColumn="0" w:oddVBand="0" w:evenVBand="0" w:oddHBand="0" w:evenHBand="0" w:firstRowFirstColumn="0" w:firstRowLastColumn="0" w:lastRowFirstColumn="0" w:lastRowLastColumn="0"/>
            </w:pPr>
            <w:r w:rsidRPr="005B7A99">
              <w:t>Normal</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pPr>
            <w:r>
              <w:t>11 (91.7%)</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pPr>
            <w:r>
              <w:t>43 (75.4%)</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pPr>
            <w:r>
              <w:t>309 (85.8%)</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248 (80%)</w:t>
            </w:r>
          </w:p>
        </w:tc>
      </w:tr>
      <w:tr w:rsidR="00CC3D0D" w:rsidRPr="005D222D" w:rsidTr="00EF7368">
        <w:trPr>
          <w:trHeight w:val="352"/>
        </w:trPr>
        <w:tc>
          <w:tcPr>
            <w:cnfStyle w:val="001000000000" w:firstRow="0" w:lastRow="0" w:firstColumn="1" w:lastColumn="0" w:oddVBand="0" w:evenVBand="0" w:oddHBand="0" w:evenHBand="0" w:firstRowFirstColumn="0" w:firstRowLastColumn="0" w:lastRowFirstColumn="0" w:lastRowLastColumn="0"/>
            <w:tcW w:w="727"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Default="00CC3D0D" w:rsidP="00CC3D0D"/>
        </w:tc>
        <w:tc>
          <w:tcPr>
            <w:tcW w:w="85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C3D0D" w:rsidRPr="005D222D" w:rsidRDefault="00CC3D0D" w:rsidP="00CC3D0D">
            <w:pPr>
              <w:pStyle w:val="Compact"/>
              <w:cnfStyle w:val="000000000000" w:firstRow="0" w:lastRow="0" w:firstColumn="0" w:lastColumn="0" w:oddVBand="0" w:evenVBand="0" w:oddHBand="0" w:evenHBand="0" w:firstRowFirstColumn="0" w:firstRowLastColumn="0" w:lastRowFirstColumn="0" w:lastRowLastColumn="0"/>
              <w:rPr>
                <w:bCs/>
              </w:rPr>
            </w:pPr>
            <w:r w:rsidRPr="005B7A99">
              <w:t>Prediabetes</w:t>
            </w:r>
          </w:p>
        </w:tc>
        <w:tc>
          <w:tcPr>
            <w:tcW w:w="8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 (8.3%)</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 (1.8%)</w:t>
            </w:r>
          </w:p>
        </w:tc>
        <w:tc>
          <w:tcPr>
            <w:tcW w:w="8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19 (5.3%)</w:t>
            </w:r>
          </w:p>
        </w:tc>
        <w:tc>
          <w:tcPr>
            <w:tcW w:w="85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CC3D0D" w:rsidRPr="005D222D" w:rsidRDefault="00CC3D0D" w:rsidP="00EF7368">
            <w:pPr>
              <w:pStyle w:val="Compact"/>
              <w:jc w:val="center"/>
              <w:cnfStyle w:val="000000000000" w:firstRow="0" w:lastRow="0" w:firstColumn="0" w:lastColumn="0" w:oddVBand="0" w:evenVBand="0" w:oddHBand="0" w:evenHBand="0" w:firstRowFirstColumn="0" w:firstRowLastColumn="0" w:lastRowFirstColumn="0" w:lastRowLastColumn="0"/>
              <w:rPr>
                <w:bCs/>
              </w:rPr>
            </w:pPr>
            <w:r w:rsidRPr="005D222D">
              <w:t>17 (5.5%)</w:t>
            </w:r>
          </w:p>
        </w:tc>
      </w:tr>
    </w:tbl>
    <w:p w:rsidR="005D222D" w:rsidRPr="00C8671D" w:rsidRDefault="00CC3D0D" w:rsidP="00CC3D0D">
      <w:pPr>
        <w:rPr>
          <w:rFonts w:asciiTheme="majorHAnsi" w:hAnsiTheme="majorHAnsi"/>
          <w:sz w:val="20"/>
        </w:rPr>
      </w:pPr>
      <w:r w:rsidRPr="00C8671D">
        <w:rPr>
          <w:rFonts w:asciiTheme="majorHAnsi" w:hAnsiTheme="majorHAnsi"/>
          <w:sz w:val="20"/>
        </w:rPr>
        <w:t xml:space="preserve">Continuous values are reported as mean (standard deviation) and discrete variables are reported as n (proportion). Significance for continuous variables were tested using Kruskal-Wallis with Bonferroni’s </w:t>
      </w:r>
      <w:r w:rsidR="007F46F1">
        <w:rPr>
          <w:rFonts w:asciiTheme="majorHAnsi" w:hAnsiTheme="majorHAnsi"/>
          <w:sz w:val="20"/>
        </w:rPr>
        <w:t>t-test for pairwise comparisons.</w:t>
      </w:r>
      <w:r w:rsidRPr="00C8671D">
        <w:rPr>
          <w:rFonts w:asciiTheme="majorHAnsi" w:hAnsiTheme="majorHAnsi"/>
          <w:sz w:val="20"/>
        </w:rPr>
        <w:t xml:space="preserve"> Significance for discrete variables were examined using chi-squared test of independence. Hemolysed sam</w:t>
      </w:r>
      <w:r w:rsidR="007F46F1">
        <w:rPr>
          <w:rFonts w:asciiTheme="majorHAnsi" w:hAnsiTheme="majorHAnsi"/>
          <w:sz w:val="20"/>
        </w:rPr>
        <w:t xml:space="preserve">ples were removed from analysis. </w:t>
      </w:r>
      <w:r w:rsidR="007F46F1">
        <w:rPr>
          <w:rFonts w:asciiTheme="majorHAnsi" w:hAnsiTheme="majorHAnsi"/>
          <w:sz w:val="20"/>
        </w:rPr>
        <w:t>*p &lt; 0.05, **p &lt; 0.01, **p &lt; 0.001</w:t>
      </w:r>
    </w:p>
    <w:p w:rsidR="00C13913" w:rsidRDefault="001A75C6">
      <w:pPr>
        <w:pStyle w:val="BodyText"/>
      </w:pPr>
      <w:r>
        <w:t xml:space="preserve">I also separated the samples marked as “&lt;” (undetectable; n=12) and those with a reading below the lower detection limit (low UDBP; n=57). The number of subjects are slightly different in </w:t>
      </w:r>
      <w:r w:rsidRPr="005D222D">
        <w:rPr>
          <w:i/>
        </w:rPr>
        <w:t>Table 1</w:t>
      </w:r>
      <w:r>
        <w:t xml:space="preserve"> compared to </w:t>
      </w:r>
      <w:r w:rsidRPr="005D222D">
        <w:rPr>
          <w:i/>
        </w:rPr>
        <w:t>Table 2</w:t>
      </w:r>
      <w:r>
        <w:t xml:space="preserve"> (subject characterization prior </w:t>
      </w:r>
      <w:r w:rsidR="00091E96">
        <w:t>separating</w:t>
      </w:r>
      <w:r>
        <w:t xml:space="preserve"> subjects with low UDBP into "undetectable" and "low" for comparison purposes) due to the exclusion of hemolysed samples. I used the Kruskal-Wallis Test to assess if there were significant differences between the UDBP groups. Pairwise comparisons were conducted using Bonferroni's t-test.</w:t>
      </w:r>
    </w:p>
    <w:p w:rsidR="00C13913" w:rsidRDefault="001A75C6">
      <w:pPr>
        <w:pStyle w:val="BodyText"/>
      </w:pPr>
      <w:r>
        <w:t xml:space="preserve">I added in alanine transaminase to assess liver function in this cohort, as a paper by Doorenbos et al. </w:t>
      </w:r>
      <w:r w:rsidR="00D77234">
        <w:t>(2012)</w:t>
      </w:r>
      <w:r>
        <w:t xml:space="preserve"> suggested that vitamin D binding protein (VDBP) loss may be compensated by increased VDBP production in the liver.</w:t>
      </w:r>
    </w:p>
    <w:p w:rsidR="00BA29C5" w:rsidRDefault="00BA29C5" w:rsidP="00BA29C5"/>
    <w:p w:rsidR="00C13913" w:rsidRPr="00BA29C5" w:rsidRDefault="001A75C6" w:rsidP="00BA29C5">
      <w:pPr>
        <w:rPr>
          <w:i/>
        </w:rPr>
      </w:pPr>
      <w:r w:rsidRPr="00BA29C5">
        <w:rPr>
          <w:i/>
        </w:rPr>
        <w:t xml:space="preserve">TABLE 2. Subject </w:t>
      </w:r>
      <w:r w:rsidR="007F46F1" w:rsidRPr="00BA29C5">
        <w:rPr>
          <w:i/>
        </w:rPr>
        <w:t>characteristics</w:t>
      </w:r>
      <w:r w:rsidRPr="00BA29C5">
        <w:rPr>
          <w:i/>
        </w:rPr>
        <w:t xml:space="preserve"> according to UDBP concentration categories after exclusion of hemolysed samples. Samples with values below the lower detection limit of the assay was not further subcategorized. </w:t>
      </w:r>
    </w:p>
    <w:tbl>
      <w:tblPr>
        <w:tblStyle w:val="PlainTable1"/>
        <w:tblW w:w="5000" w:type="pct"/>
        <w:tblInd w:w="0" w:type="dxa"/>
        <w:tblLayout w:type="fixed"/>
        <w:tblLook w:val="06A0" w:firstRow="1" w:lastRow="0" w:firstColumn="1" w:lastColumn="0" w:noHBand="1" w:noVBand="1"/>
      </w:tblPr>
      <w:tblGrid>
        <w:gridCol w:w="1336"/>
        <w:gridCol w:w="1759"/>
        <w:gridCol w:w="2085"/>
        <w:gridCol w:w="2085"/>
        <w:gridCol w:w="2085"/>
      </w:tblGrid>
      <w:tr w:rsidR="005D222D" w:rsidTr="00BA2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p>
        </w:tc>
        <w:tc>
          <w:tcPr>
            <w:tcW w:w="1115" w:type="pct"/>
            <w:vAlign w:val="center"/>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Low UDBP (n=69)</w:t>
            </w:r>
          </w:p>
        </w:tc>
        <w:tc>
          <w:tcPr>
            <w:tcW w:w="1115" w:type="pct"/>
            <w:vAlign w:val="center"/>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Normal UDBP (n=360)</w:t>
            </w:r>
          </w:p>
        </w:tc>
        <w:tc>
          <w:tcPr>
            <w:tcW w:w="1115" w:type="pct"/>
            <w:vAlign w:val="center"/>
          </w:tcPr>
          <w:p w:rsidR="005D222D" w:rsidRDefault="005D222D" w:rsidP="00BA29C5">
            <w:pPr>
              <w:pStyle w:val="Compact"/>
              <w:jc w:val="center"/>
              <w:cnfStyle w:val="100000000000" w:firstRow="1" w:lastRow="0" w:firstColumn="0" w:lastColumn="0" w:oddVBand="0" w:evenVBand="0" w:oddHBand="0" w:evenHBand="0" w:firstRowFirstColumn="0" w:firstRowLastColumn="0" w:lastRowFirstColumn="0" w:lastRowLastColumn="0"/>
            </w:pPr>
            <w:r>
              <w:t>High UDBP (n=310)</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Age (years)</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47.9 (9.5)</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50.4 (10.1)</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49.6 (10.0)</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val="restart"/>
          </w:tcPr>
          <w:p w:rsidR="005D222D" w:rsidRDefault="005D222D">
            <w:pPr>
              <w:pStyle w:val="Compact"/>
            </w:pPr>
            <w:r>
              <w:t>Ethnicity (%)</w:t>
            </w: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European</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38 (55.1%)</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238 (66.1%)</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205 (66.1%)</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Latino/a</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16 (23.2%)</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55 (15.3%)</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42 (13.5%)</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Other</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10 (14.5%)</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35 (9.7%)</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43 (13.9%)</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South Asian</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5 (7.2%)</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32 (8.9%)</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20 (6.5%)</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val="restart"/>
          </w:tcPr>
          <w:p w:rsidR="005D222D" w:rsidRDefault="005D222D">
            <w:pPr>
              <w:pStyle w:val="Compact"/>
            </w:pPr>
            <w:r>
              <w:t>Sex (%)</w:t>
            </w:r>
            <w:r w:rsidR="00490114">
              <w:t>*</w:t>
            </w: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Female</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39 (56.5%)</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262 (72.8%)</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202 (65.2%)</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Default="005D222D">
            <w:pPr>
              <w:pStyle w:val="Compact"/>
              <w:cnfStyle w:val="000000000000" w:firstRow="0" w:lastRow="0" w:firstColumn="0" w:lastColumn="0" w:oddVBand="0" w:evenVBand="0" w:oddHBand="0" w:evenHBand="0" w:firstRowFirstColumn="0" w:firstRowLastColumn="0" w:lastRowFirstColumn="0" w:lastRowLastColumn="0"/>
            </w:pPr>
            <w:r>
              <w:t>Male</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30 (43.5%)</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98 (27.2%)</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108 (34.8%)</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Pr="005D222D" w:rsidRDefault="005D222D">
            <w:pPr>
              <w:pStyle w:val="Compact"/>
            </w:pPr>
            <w:r>
              <w:t>BMI (kg/m</w:t>
            </w:r>
            <w:r>
              <w:rPr>
                <w:vertAlign w:val="superscript"/>
              </w:rPr>
              <w:t>2</w:t>
            </w:r>
            <w:r>
              <w:t>)</w:t>
            </w:r>
            <w:r w:rsidR="007F46F1">
              <w:t>***</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33.0 (7.5)</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30.0 (6.2)</w:t>
            </w:r>
            <w:r w:rsidR="007F46F1">
              <w:rPr>
                <w:vertAlign w:val="superscript"/>
              </w:rPr>
              <w:t>ab</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32.0 (5.8)</w:t>
            </w:r>
            <w:r w:rsidR="007F46F1">
              <w:rPr>
                <w:vertAlign w:val="superscript"/>
              </w:rPr>
              <w:t>b</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Waist circumference(cm)</w:t>
            </w:r>
            <w:r w:rsidR="007F46F1">
              <w:t>***</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104.0 (18.6)</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96.1 (15.3)</w:t>
            </w:r>
            <w:r w:rsidR="007F46F1">
              <w:rPr>
                <w:vertAlign w:val="superscript"/>
              </w:rPr>
              <w:t>ab</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101.2 (14.1)</w:t>
            </w:r>
            <w:r w:rsidR="007F46F1">
              <w:rPr>
                <w:vertAlign w:val="superscript"/>
              </w:rPr>
              <w:t>b</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Pr="005D222D" w:rsidRDefault="005D222D">
            <w:pPr>
              <w:pStyle w:val="Compact"/>
            </w:pPr>
            <w:r>
              <w:t>Estimated GFR (mL/min/1.73m</w:t>
            </w:r>
            <w:r>
              <w:rPr>
                <w:vertAlign w:val="superscript"/>
              </w:rPr>
              <w:t>2</w:t>
            </w:r>
            <w:r>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104.9 (12.8)</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105.0 (14.6)</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104.4 (14.6)</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Microalbumin:Creatinine</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0.6 (0.4)</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1.1 (2.7)</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1.8 (7.1)</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Urinary creatinine (mmol/L)</w:t>
            </w:r>
            <w:r w:rsidR="007F46F1">
              <w:t>***</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13.2 (5.2)</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8.8 (5.2)</w:t>
            </w:r>
            <w:r w:rsidR="007F46F1">
              <w:rPr>
                <w:vertAlign w:val="superscript"/>
              </w:rPr>
              <w:t>ab</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14.9 (6.2)</w:t>
            </w:r>
            <w:r w:rsidR="007F46F1">
              <w:rPr>
                <w:vertAlign w:val="superscript"/>
              </w:rPr>
              <w:t>b</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rsidP="005D222D">
            <w:pPr>
              <w:pStyle w:val="Compact"/>
            </w:pPr>
            <w:r>
              <w:lastRenderedPageBreak/>
              <w:t>Urinary albumin (mg/L)</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7.0 (5.1)</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6.1 (10.6)</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lang w:val="en-CA"/>
              </w:rPr>
            </w:pPr>
            <w:r>
              <w:t>21.2 (99.9)</w:t>
            </w:r>
            <w:r w:rsidR="007F46F1">
              <w:rPr>
                <w:vertAlign w:val="superscript"/>
              </w:rPr>
              <w:t>a</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 xml:space="preserve">Serum creatinine (μmol/L) </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72.1 (12.0)</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69.3 (13.4)</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70.6 (13.7)</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Serum 25(OH)D (nmol/L)</w:t>
            </w:r>
            <w:r w:rsidR="007F46F1">
              <w:t>*</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48.7 (20.2)</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57.9 (23.7)</w:t>
            </w:r>
            <w:r w:rsidR="007F46F1">
              <w:rPr>
                <w:vertAlign w:val="superscript"/>
              </w:rPr>
              <w:t>a</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54.3 (22.5)</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Diastolic blood pressure (mmHg)</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80.1 (9.8)</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78.7 (9.5)</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81.7 (11.1)</w:t>
            </w:r>
            <w:r w:rsidR="007F46F1">
              <w:rPr>
                <w:vertAlign w:val="superscript"/>
              </w:rPr>
              <w:t>a</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rsidP="005D222D">
            <w:pPr>
              <w:pStyle w:val="Compact"/>
            </w:pPr>
            <w:r>
              <w:t>Mean arterial pressure (mmHg)</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95.0 (10.5)</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94.0 (10.9)</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97.2 (11.9)</w:t>
            </w:r>
            <w:r w:rsidR="007F46F1">
              <w:rPr>
                <w:vertAlign w:val="superscript"/>
              </w:rPr>
              <w:t>a</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Systolic blood pressure (mmHg)</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125.0 (13.8)</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124.6 (16.2)</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128.1 (16.0)</w:t>
            </w:r>
            <w:r w:rsidR="007F46F1">
              <w:rPr>
                <w:vertAlign w:val="superscript"/>
              </w:rPr>
              <w:t>a</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D222D">
            <w:pPr>
              <w:pStyle w:val="Compact"/>
            </w:pPr>
            <w:r>
              <w:t>Parathyroid Hormone (pmol/L)</w:t>
            </w:r>
            <w:r w:rsidR="007F46F1">
              <w:t>***</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4.7 (1.8)</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4.2 (1.5)</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4.9 (1.8)</w:t>
            </w:r>
            <w:r w:rsidR="007F46F1">
              <w:rPr>
                <w:vertAlign w:val="superscript"/>
              </w:rPr>
              <w:t>a</w:t>
            </w:r>
          </w:p>
        </w:tc>
      </w:tr>
      <w:tr w:rsidR="005D222D" w:rsidTr="00EF7368">
        <w:tc>
          <w:tcPr>
            <w:cnfStyle w:val="001000000000" w:firstRow="0" w:lastRow="0" w:firstColumn="1" w:lastColumn="0" w:oddVBand="0" w:evenVBand="0" w:oddHBand="0" w:evenHBand="0" w:firstRowFirstColumn="0" w:firstRowLastColumn="0" w:lastRowFirstColumn="0" w:lastRowLastColumn="0"/>
            <w:tcW w:w="1654" w:type="pct"/>
            <w:gridSpan w:val="2"/>
          </w:tcPr>
          <w:p w:rsidR="005D222D" w:rsidRDefault="005B7A99">
            <w:pPr>
              <w:pStyle w:val="Compact"/>
            </w:pPr>
            <w:r>
              <w:t xml:space="preserve">Serum </w:t>
            </w:r>
            <w:r w:rsidR="005D222D">
              <w:t>ALT</w:t>
            </w:r>
            <w:r>
              <w:t xml:space="preserve"> (U/L)</w:t>
            </w:r>
            <w:r w:rsidR="007F46F1">
              <w:t>*</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36.8 (23.8)</w:t>
            </w:r>
            <w:r w:rsidR="007F46F1">
              <w:rPr>
                <w:vertAlign w:val="superscript"/>
              </w:rPr>
              <w:t>a</w:t>
            </w:r>
          </w:p>
        </w:tc>
        <w:tc>
          <w:tcPr>
            <w:tcW w:w="1115" w:type="pct"/>
            <w:vAlign w:val="center"/>
          </w:tcPr>
          <w:p w:rsidR="005D222D" w:rsidRPr="007F46F1"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rPr>
                <w:vertAlign w:val="superscript"/>
              </w:rPr>
            </w:pPr>
            <w:r>
              <w:t>29.8 (14.1)</w:t>
            </w:r>
            <w:r w:rsidR="007F46F1">
              <w:rPr>
                <w:vertAlign w:val="superscript"/>
              </w:rPr>
              <w:t>a</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33.3 (18.6)</w:t>
            </w:r>
          </w:p>
        </w:tc>
      </w:tr>
      <w:tr w:rsidR="005B7A99" w:rsidTr="00EF7368">
        <w:tc>
          <w:tcPr>
            <w:cnfStyle w:val="001000000000" w:firstRow="0" w:lastRow="0" w:firstColumn="1" w:lastColumn="0" w:oddVBand="0" w:evenVBand="0" w:oddHBand="0" w:evenHBand="0" w:firstRowFirstColumn="0" w:firstRowLastColumn="0" w:lastRowFirstColumn="0" w:lastRowLastColumn="0"/>
            <w:tcW w:w="714" w:type="pct"/>
            <w:vMerge w:val="restart"/>
            <w:tcBorders>
              <w:right w:val="single" w:sz="4" w:space="0" w:color="BFBFBF" w:themeColor="background1" w:themeShade="BF"/>
            </w:tcBorders>
          </w:tcPr>
          <w:p w:rsidR="005B7A99" w:rsidRDefault="005B7A99">
            <w:pPr>
              <w:pStyle w:val="Compact"/>
            </w:pPr>
            <w:r>
              <w:t>Blood glucose (mmol/L)</w:t>
            </w:r>
          </w:p>
        </w:tc>
        <w:tc>
          <w:tcPr>
            <w:tcW w:w="940" w:type="pct"/>
            <w:tcBorders>
              <w:left w:val="single" w:sz="4" w:space="0" w:color="BFBFBF" w:themeColor="background1" w:themeShade="BF"/>
            </w:tcBorders>
          </w:tcPr>
          <w:p w:rsidR="005B7A99" w:rsidRPr="005B7A99" w:rsidRDefault="005B7A99">
            <w:pPr>
              <w:cnfStyle w:val="000000000000" w:firstRow="0" w:lastRow="0" w:firstColumn="0" w:lastColumn="0" w:oddVBand="0" w:evenVBand="0" w:oddHBand="0" w:evenHBand="0" w:firstRowFirstColumn="0" w:firstRowLastColumn="0" w:lastRowFirstColumn="0" w:lastRowLastColumn="0"/>
            </w:pPr>
            <w:r w:rsidRPr="005B7A99">
              <w:t>Fasting</w:t>
            </w:r>
          </w:p>
          <w:p w:rsidR="005B7A99" w:rsidRPr="005B7A99" w:rsidRDefault="005B7A99" w:rsidP="005B7A99">
            <w:pPr>
              <w:pStyle w:val="Compact"/>
              <w:cnfStyle w:val="000000000000" w:firstRow="0" w:lastRow="0" w:firstColumn="0" w:lastColumn="0" w:oddVBand="0" w:evenVBand="0" w:oddHBand="0" w:evenHBand="0" w:firstRowFirstColumn="0" w:firstRowLastColumn="0" w:lastRowFirstColumn="0" w:lastRowLastColumn="0"/>
              <w:rPr>
                <w:bCs/>
              </w:rPr>
            </w:pP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5.4 (1.0)</w:t>
            </w: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5.1 (0.9)</w:t>
            </w: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5.1 (0.9)</w:t>
            </w:r>
          </w:p>
        </w:tc>
      </w:tr>
      <w:tr w:rsidR="005B7A99" w:rsidTr="00EF7368">
        <w:tc>
          <w:tcPr>
            <w:cnfStyle w:val="001000000000" w:firstRow="0" w:lastRow="0" w:firstColumn="1" w:lastColumn="0" w:oddVBand="0" w:evenVBand="0" w:oddHBand="0" w:evenHBand="0" w:firstRowFirstColumn="0" w:firstRowLastColumn="0" w:lastRowFirstColumn="0" w:lastRowLastColumn="0"/>
            <w:tcW w:w="714" w:type="pct"/>
            <w:vMerge/>
            <w:tcBorders>
              <w:right w:val="single" w:sz="4" w:space="0" w:color="BFBFBF" w:themeColor="background1" w:themeShade="BF"/>
            </w:tcBorders>
          </w:tcPr>
          <w:p w:rsidR="005B7A99" w:rsidRDefault="005B7A99">
            <w:pPr>
              <w:pStyle w:val="Compact"/>
            </w:pPr>
          </w:p>
        </w:tc>
        <w:tc>
          <w:tcPr>
            <w:tcW w:w="940" w:type="pct"/>
            <w:tcBorders>
              <w:left w:val="single" w:sz="4" w:space="0" w:color="BFBFBF" w:themeColor="background1" w:themeShade="BF"/>
            </w:tcBorders>
          </w:tcPr>
          <w:p w:rsidR="005B7A99" w:rsidRPr="005B7A99" w:rsidRDefault="005B7A99" w:rsidP="005B7A99">
            <w:pPr>
              <w:pStyle w:val="Compact"/>
              <w:cnfStyle w:val="000000000000" w:firstRow="0" w:lastRow="0" w:firstColumn="0" w:lastColumn="0" w:oddVBand="0" w:evenVBand="0" w:oddHBand="0" w:evenHBand="0" w:firstRowFirstColumn="0" w:firstRowLastColumn="0" w:lastRowFirstColumn="0" w:lastRowLastColumn="0"/>
              <w:rPr>
                <w:bCs/>
              </w:rPr>
            </w:pPr>
            <w:r w:rsidRPr="005B7A99">
              <w:rPr>
                <w:bCs/>
              </w:rPr>
              <w:t>2h OGTT</w:t>
            </w: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6.8 (3.6)</w:t>
            </w: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6.4 (2.5)</w:t>
            </w:r>
          </w:p>
        </w:tc>
        <w:tc>
          <w:tcPr>
            <w:tcW w:w="1115" w:type="pct"/>
            <w:vAlign w:val="center"/>
          </w:tcPr>
          <w:p w:rsidR="005B7A99" w:rsidRDefault="005B7A99" w:rsidP="00EF7368">
            <w:pPr>
              <w:pStyle w:val="Compact"/>
              <w:jc w:val="center"/>
              <w:cnfStyle w:val="000000000000" w:firstRow="0" w:lastRow="0" w:firstColumn="0" w:lastColumn="0" w:oddVBand="0" w:evenVBand="0" w:oddHBand="0" w:evenHBand="0" w:firstRowFirstColumn="0" w:firstRowLastColumn="0" w:lastRowFirstColumn="0" w:lastRowLastColumn="0"/>
            </w:pPr>
            <w:r>
              <w:t>6.7 (3.2)</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val="restart"/>
          </w:tcPr>
          <w:p w:rsidR="005D222D" w:rsidRDefault="005D222D">
            <w:pPr>
              <w:pStyle w:val="Compact"/>
            </w:pPr>
            <w:r>
              <w:t>Diabetic Status</w:t>
            </w:r>
          </w:p>
        </w:tc>
        <w:tc>
          <w:tcPr>
            <w:tcW w:w="940" w:type="pct"/>
          </w:tcPr>
          <w:p w:rsidR="005D222D" w:rsidRPr="005B7A99" w:rsidRDefault="005B7A99">
            <w:pPr>
              <w:pStyle w:val="Compact"/>
              <w:cnfStyle w:val="000000000000" w:firstRow="0" w:lastRow="0" w:firstColumn="0" w:lastColumn="0" w:oddVBand="0" w:evenVBand="0" w:oddHBand="0" w:evenHBand="0" w:firstRowFirstColumn="0" w:firstRowLastColumn="0" w:lastRowFirstColumn="0" w:lastRowLastColumn="0"/>
            </w:pPr>
            <w:r w:rsidRPr="005B7A99">
              <w:t>Diabetes</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13 (18.8%)</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32 (8.9%)</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45 (14.5%)</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Pr="005B7A99" w:rsidRDefault="005B7A99">
            <w:pPr>
              <w:pStyle w:val="Compact"/>
              <w:cnfStyle w:val="000000000000" w:firstRow="0" w:lastRow="0" w:firstColumn="0" w:lastColumn="0" w:oddVBand="0" w:evenVBand="0" w:oddHBand="0" w:evenHBand="0" w:firstRowFirstColumn="0" w:firstRowLastColumn="0" w:lastRowFirstColumn="0" w:lastRowLastColumn="0"/>
            </w:pPr>
            <w:r w:rsidRPr="005B7A99">
              <w:t>Normal</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54 (78.3%)</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309 (85.8%)</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248 (80%)</w:t>
            </w:r>
          </w:p>
        </w:tc>
      </w:tr>
      <w:tr w:rsidR="005D222D" w:rsidTr="00EF7368">
        <w:tc>
          <w:tcPr>
            <w:cnfStyle w:val="001000000000" w:firstRow="0" w:lastRow="0" w:firstColumn="1" w:lastColumn="0" w:oddVBand="0" w:evenVBand="0" w:oddHBand="0" w:evenHBand="0" w:firstRowFirstColumn="0" w:firstRowLastColumn="0" w:lastRowFirstColumn="0" w:lastRowLastColumn="0"/>
            <w:tcW w:w="714" w:type="pct"/>
            <w:vMerge/>
          </w:tcPr>
          <w:p w:rsidR="005D222D" w:rsidRDefault="005D222D">
            <w:pPr>
              <w:pStyle w:val="Compact"/>
            </w:pPr>
          </w:p>
        </w:tc>
        <w:tc>
          <w:tcPr>
            <w:tcW w:w="940" w:type="pct"/>
          </w:tcPr>
          <w:p w:rsidR="005D222D" w:rsidRPr="005B7A99" w:rsidRDefault="005D222D">
            <w:pPr>
              <w:pStyle w:val="Compact"/>
              <w:cnfStyle w:val="000000000000" w:firstRow="0" w:lastRow="0" w:firstColumn="0" w:lastColumn="0" w:oddVBand="0" w:evenVBand="0" w:oddHBand="0" w:evenHBand="0" w:firstRowFirstColumn="0" w:firstRowLastColumn="0" w:lastRowFirstColumn="0" w:lastRowLastColumn="0"/>
            </w:pPr>
            <w:r w:rsidRPr="005B7A99">
              <w:t>Prediabetes</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2 (2.9%)</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19 (5.3%)</w:t>
            </w:r>
          </w:p>
        </w:tc>
        <w:tc>
          <w:tcPr>
            <w:tcW w:w="1115" w:type="pct"/>
            <w:vAlign w:val="center"/>
          </w:tcPr>
          <w:p w:rsidR="005D222D" w:rsidRDefault="005D222D" w:rsidP="00EF7368">
            <w:pPr>
              <w:pStyle w:val="Compact"/>
              <w:jc w:val="center"/>
              <w:cnfStyle w:val="000000000000" w:firstRow="0" w:lastRow="0" w:firstColumn="0" w:lastColumn="0" w:oddVBand="0" w:evenVBand="0" w:oddHBand="0" w:evenHBand="0" w:firstRowFirstColumn="0" w:firstRowLastColumn="0" w:lastRowFirstColumn="0" w:lastRowLastColumn="0"/>
            </w:pPr>
            <w:r>
              <w:t>17 (5.5%)</w:t>
            </w:r>
          </w:p>
        </w:tc>
      </w:tr>
    </w:tbl>
    <w:p w:rsidR="00C8671D" w:rsidRPr="00C8671D" w:rsidRDefault="00CC3D0D" w:rsidP="00C8671D">
      <w:pPr>
        <w:rPr>
          <w:rFonts w:asciiTheme="majorHAnsi" w:hAnsiTheme="majorHAnsi"/>
          <w:sz w:val="20"/>
        </w:rPr>
      </w:pPr>
      <w:r w:rsidRPr="00C8671D">
        <w:rPr>
          <w:rFonts w:asciiTheme="majorHAnsi" w:hAnsiTheme="majorHAnsi"/>
          <w:sz w:val="20"/>
        </w:rPr>
        <w:t>Continuous v</w:t>
      </w:r>
      <w:r w:rsidR="00657963" w:rsidRPr="00C8671D">
        <w:rPr>
          <w:rFonts w:asciiTheme="majorHAnsi" w:hAnsiTheme="majorHAnsi"/>
          <w:sz w:val="20"/>
        </w:rPr>
        <w:t>alues are reported as mean (</w:t>
      </w:r>
      <w:r w:rsidR="005D222D" w:rsidRPr="00C8671D">
        <w:rPr>
          <w:rFonts w:asciiTheme="majorHAnsi" w:hAnsiTheme="majorHAnsi"/>
          <w:sz w:val="20"/>
        </w:rPr>
        <w:t>standard deviation</w:t>
      </w:r>
      <w:r w:rsidR="00657963" w:rsidRPr="00C8671D">
        <w:rPr>
          <w:rFonts w:asciiTheme="majorHAnsi" w:hAnsiTheme="majorHAnsi"/>
          <w:sz w:val="20"/>
        </w:rPr>
        <w:t>)</w:t>
      </w:r>
      <w:r w:rsidRPr="00C8671D">
        <w:rPr>
          <w:rFonts w:asciiTheme="majorHAnsi" w:hAnsiTheme="majorHAnsi"/>
          <w:sz w:val="20"/>
        </w:rPr>
        <w:t xml:space="preserve"> and discrete variables are reported as n (proportion)</w:t>
      </w:r>
      <w:r w:rsidR="005D222D" w:rsidRPr="00C8671D">
        <w:rPr>
          <w:rFonts w:asciiTheme="majorHAnsi" w:hAnsiTheme="majorHAnsi"/>
          <w:sz w:val="20"/>
        </w:rPr>
        <w:t xml:space="preserve">. Significance for continuous variables were tested using </w:t>
      </w:r>
      <w:r w:rsidRPr="00C8671D">
        <w:rPr>
          <w:rFonts w:asciiTheme="majorHAnsi" w:hAnsiTheme="majorHAnsi"/>
          <w:sz w:val="20"/>
        </w:rPr>
        <w:t>Kruskal-Wallis with Bonferroni’s t-test for pairwise comparisons. S</w:t>
      </w:r>
      <w:r w:rsidR="005D222D" w:rsidRPr="00C8671D">
        <w:rPr>
          <w:rFonts w:asciiTheme="majorHAnsi" w:hAnsiTheme="majorHAnsi"/>
          <w:sz w:val="20"/>
        </w:rPr>
        <w:t>ignificance for discrete variables were examined using chi-squared test of independence. Hemolysed samples were removed from analysis.</w:t>
      </w:r>
      <w:r w:rsidR="007F46F1">
        <w:rPr>
          <w:rFonts w:asciiTheme="majorHAnsi" w:hAnsiTheme="majorHAnsi"/>
          <w:sz w:val="20"/>
        </w:rPr>
        <w:t xml:space="preserve"> </w:t>
      </w:r>
      <w:r w:rsidR="007F46F1">
        <w:rPr>
          <w:rFonts w:asciiTheme="majorHAnsi" w:hAnsiTheme="majorHAnsi"/>
          <w:sz w:val="20"/>
        </w:rPr>
        <w:t>*p &lt; 0.05, **p &lt; 0.01, **p &lt; 0.001</w:t>
      </w:r>
    </w:p>
    <w:sectPr w:rsidR="00C8671D" w:rsidRPr="00C867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E9A" w:rsidRDefault="00F60E9A">
      <w:pPr>
        <w:spacing w:after="0"/>
      </w:pPr>
      <w:r>
        <w:separator/>
      </w:r>
    </w:p>
  </w:endnote>
  <w:endnote w:type="continuationSeparator" w:id="0">
    <w:p w:rsidR="00F60E9A" w:rsidRDefault="00F60E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E9A" w:rsidRDefault="00F60E9A">
      <w:r>
        <w:separator/>
      </w:r>
    </w:p>
  </w:footnote>
  <w:footnote w:type="continuationSeparator" w:id="0">
    <w:p w:rsidR="00F60E9A" w:rsidRDefault="00F60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C0B43F"/>
    <w:multiLevelType w:val="multilevel"/>
    <w:tmpl w:val="381272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85C8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F1A4A9"/>
    <w:multiLevelType w:val="multilevel"/>
    <w:tmpl w:val="BBCAC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1E96"/>
    <w:rsid w:val="001A75C6"/>
    <w:rsid w:val="00490114"/>
    <w:rsid w:val="004E29B3"/>
    <w:rsid w:val="00590D07"/>
    <w:rsid w:val="005B1595"/>
    <w:rsid w:val="005B7A99"/>
    <w:rsid w:val="005D222D"/>
    <w:rsid w:val="00657963"/>
    <w:rsid w:val="006D4D8E"/>
    <w:rsid w:val="00784D58"/>
    <w:rsid w:val="007F46F1"/>
    <w:rsid w:val="008D6863"/>
    <w:rsid w:val="00AF4410"/>
    <w:rsid w:val="00B86B75"/>
    <w:rsid w:val="00BA29C5"/>
    <w:rsid w:val="00BC48D5"/>
    <w:rsid w:val="00C13913"/>
    <w:rsid w:val="00C36279"/>
    <w:rsid w:val="00C74EED"/>
    <w:rsid w:val="00C8671D"/>
    <w:rsid w:val="00CC3D0D"/>
    <w:rsid w:val="00D71938"/>
    <w:rsid w:val="00D77234"/>
    <w:rsid w:val="00E315A3"/>
    <w:rsid w:val="00EF7368"/>
    <w:rsid w:val="00F60E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98E0"/>
  <w15:docId w15:val="{A69DDAA9-B8DE-4139-B4E5-812901C0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83A67"/>
    <w:pPr>
      <w:keepNext/>
      <w:keepLines/>
      <w:spacing w:before="480" w:after="0"/>
      <w:outlineLvl w:val="0"/>
    </w:pPr>
    <w:rPr>
      <w:rFonts w:asciiTheme="majorHAnsi" w:eastAsiaTheme="majorEastAsia" w:hAnsiTheme="majorHAnsi" w:cstheme="majorBidi"/>
      <w:b/>
      <w:bCs/>
      <w:caps/>
      <w:sz w:val="28"/>
      <w:szCs w:val="32"/>
    </w:rPr>
  </w:style>
  <w:style w:type="paragraph" w:styleId="Heading2">
    <w:name w:val="heading 2"/>
    <w:basedOn w:val="Normal"/>
    <w:next w:val="BodyText"/>
    <w:uiPriority w:val="9"/>
    <w:unhideWhenUsed/>
    <w:qFormat/>
    <w:rsid w:val="00483A67"/>
    <w:pPr>
      <w:keepNext/>
      <w:keepLines/>
      <w:spacing w:before="200" w:after="0"/>
      <w:outlineLvl w:val="1"/>
    </w:pPr>
    <w:rPr>
      <w:rFonts w:asciiTheme="majorHAnsi" w:eastAsiaTheme="majorEastAsia" w:hAnsiTheme="majorHAnsi" w:cstheme="majorBidi"/>
      <w:b/>
      <w:bCs/>
      <w:sz w:val="26"/>
      <w:szCs w:val="32"/>
    </w:rPr>
  </w:style>
  <w:style w:type="paragraph" w:styleId="Heading3">
    <w:name w:val="heading 3"/>
    <w:basedOn w:val="Normal"/>
    <w:next w:val="BodyText"/>
    <w:uiPriority w:val="9"/>
    <w:unhideWhenUsed/>
    <w:qFormat/>
    <w:rsid w:val="00483A67"/>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83A67"/>
    <w:pPr>
      <w:keepNext/>
      <w:keepLines/>
      <w:spacing w:before="480" w:after="240"/>
      <w:jc w:val="center"/>
    </w:pPr>
    <w:rPr>
      <w:rFonts w:asciiTheme="majorHAnsi" w:eastAsiaTheme="majorEastAsia" w:hAnsiTheme="majorHAnsi" w:cstheme="majorBidi"/>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483A67"/>
    <w:rPr>
      <w:i/>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3A67"/>
  </w:style>
  <w:style w:type="table" w:styleId="PlainTable1">
    <w:name w:val="Plain Table 1"/>
    <w:basedOn w:val="TableNormal"/>
    <w:rsid w:val="005D222D"/>
    <w:pPr>
      <w:spacing w:after="0"/>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32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UPDATES FROM CONFERENCE CALL</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UPDATES FROM CONFERENCE CALL</dc:title>
  <dc:creator>WINDY WANG</dc:creator>
  <cp:lastModifiedBy>Windy Wang</cp:lastModifiedBy>
  <cp:revision>11</cp:revision>
  <dcterms:created xsi:type="dcterms:W3CDTF">2016-05-20T19:11:00Z</dcterms:created>
  <dcterms:modified xsi:type="dcterms:W3CDTF">2016-05-20T21:25:00Z</dcterms:modified>
</cp:coreProperties>
</file>