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D3A57" w14:textId="26DE7998" w:rsidR="005C4EE6" w:rsidRPr="001C61D5" w:rsidRDefault="005C4EE6" w:rsidP="001C61D5">
      <w:pPr>
        <w:pStyle w:val="Title"/>
        <w:rPr>
          <w:rFonts w:ascii="Myriad Pro" w:hAnsi="Myriad Pro"/>
        </w:rPr>
      </w:pPr>
      <w:r w:rsidRPr="001C61D5">
        <w:rPr>
          <w:rFonts w:ascii="Myriad Pro" w:hAnsi="Myriad Pro"/>
        </w:rPr>
        <w:t>NFS498 Proposal Outline</w:t>
      </w:r>
    </w:p>
    <w:p w14:paraId="78C109D6" w14:textId="77777777" w:rsidR="001C61D5" w:rsidRPr="001C61D5" w:rsidRDefault="001C61D5" w:rsidP="001C61D5"/>
    <w:tbl>
      <w:tblPr>
        <w:tblStyle w:val="TableGrid"/>
        <w:tblW w:w="0" w:type="auto"/>
        <w:tblLook w:val="04A0" w:firstRow="1" w:lastRow="0" w:firstColumn="1" w:lastColumn="0" w:noHBand="0" w:noVBand="1"/>
      </w:tblPr>
      <w:tblGrid>
        <w:gridCol w:w="9350"/>
      </w:tblGrid>
      <w:tr w:rsidR="00F154C5" w:rsidRPr="00215C63" w14:paraId="7250A88C" w14:textId="77777777" w:rsidTr="00F154C5">
        <w:tc>
          <w:tcPr>
            <w:tcW w:w="9350" w:type="dxa"/>
          </w:tcPr>
          <w:p w14:paraId="483101D6" w14:textId="5AE2FFF9" w:rsidR="00F154C5" w:rsidRPr="00D15B58" w:rsidRDefault="00F154C5" w:rsidP="00215C63">
            <w:pPr>
              <w:pStyle w:val="Heading3"/>
              <w:rPr>
                <w:rFonts w:ascii="Myriad Pro" w:hAnsi="Myriad Pro"/>
                <w:smallCaps w:val="0"/>
                <w:sz w:val="22"/>
                <w:szCs w:val="22"/>
              </w:rPr>
            </w:pPr>
            <w:r w:rsidRPr="00D15B58">
              <w:rPr>
                <w:rFonts w:ascii="Myriad Pro" w:hAnsi="Myriad Pro"/>
                <w:smallCaps w:val="0"/>
                <w:sz w:val="22"/>
                <w:szCs w:val="22"/>
              </w:rPr>
              <w:t>Requirements</w:t>
            </w:r>
          </w:p>
          <w:p w14:paraId="1B204AAF" w14:textId="77777777"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5 pages, double spaced, excluding references</w:t>
            </w:r>
          </w:p>
          <w:p w14:paraId="40DDCA2E" w14:textId="77777777"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Research area &amp; why it is important</w:t>
            </w:r>
          </w:p>
          <w:p w14:paraId="17A21FCE" w14:textId="77777777"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Research question</w:t>
            </w:r>
          </w:p>
          <w:p w14:paraId="7130A5AC" w14:textId="1B3464FA"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Methods/approach to solving research question</w:t>
            </w:r>
          </w:p>
        </w:tc>
      </w:tr>
    </w:tbl>
    <w:p w14:paraId="735F671D" w14:textId="77777777" w:rsidR="00F154C5" w:rsidRPr="00215C63" w:rsidRDefault="00F154C5" w:rsidP="001C61D5">
      <w:pPr>
        <w:spacing w:line="276" w:lineRule="auto"/>
        <w:rPr>
          <w:rFonts w:asciiTheme="majorHAnsi" w:hAnsiTheme="majorHAnsi"/>
        </w:rPr>
      </w:pPr>
    </w:p>
    <w:tbl>
      <w:tblPr>
        <w:tblStyle w:val="TableGrid"/>
        <w:tblW w:w="0" w:type="auto"/>
        <w:tblLook w:val="04A0" w:firstRow="1" w:lastRow="0" w:firstColumn="1" w:lastColumn="0" w:noHBand="0" w:noVBand="1"/>
      </w:tblPr>
      <w:tblGrid>
        <w:gridCol w:w="9350"/>
      </w:tblGrid>
      <w:tr w:rsidR="001C61D5" w:rsidRPr="00215C63" w14:paraId="3A8C423D" w14:textId="77777777" w:rsidTr="001C61D5">
        <w:tc>
          <w:tcPr>
            <w:tcW w:w="9350" w:type="dxa"/>
          </w:tcPr>
          <w:p w14:paraId="1A224C05" w14:textId="725163F5" w:rsidR="001C61D5" w:rsidRPr="00D15B58" w:rsidRDefault="001C61D5" w:rsidP="00215C63">
            <w:pPr>
              <w:pStyle w:val="Heading3"/>
              <w:rPr>
                <w:rFonts w:ascii="Myriad Pro" w:hAnsi="Myriad Pro"/>
                <w:smallCaps w:val="0"/>
                <w:sz w:val="22"/>
                <w:szCs w:val="22"/>
              </w:rPr>
            </w:pPr>
            <w:r w:rsidRPr="00D15B58">
              <w:rPr>
                <w:rFonts w:ascii="Myriad Pro" w:hAnsi="Myriad Pro"/>
                <w:smallCaps w:val="0"/>
                <w:sz w:val="22"/>
                <w:szCs w:val="22"/>
              </w:rPr>
              <w:t>Introduction</w:t>
            </w:r>
            <w:r w:rsidRPr="00D15B58">
              <w:rPr>
                <w:rFonts w:ascii="Myriad Pro" w:hAnsi="Myriad Pro"/>
                <w:smallCaps w:val="0"/>
                <w:sz w:val="22"/>
                <w:szCs w:val="22"/>
              </w:rPr>
              <w:t xml:space="preserve"> Flow</w:t>
            </w:r>
          </w:p>
          <w:p w14:paraId="3924242A" w14:textId="3675C65E" w:rsidR="001C61D5" w:rsidRPr="00215C63" w:rsidRDefault="001C61D5" w:rsidP="001C61D5">
            <w:pPr>
              <w:spacing w:line="276" w:lineRule="auto"/>
              <w:rPr>
                <w:rFonts w:asciiTheme="majorHAnsi" w:hAnsiTheme="majorHAnsi"/>
              </w:rPr>
            </w:pPr>
            <w:r w:rsidRPr="00215C63">
              <w:rPr>
                <w:rFonts w:asciiTheme="majorHAnsi" w:hAnsiTheme="majorHAnsi"/>
              </w:rPr>
              <w:t>Diabetes (</w:t>
            </w:r>
            <w:r w:rsidRPr="00215C63">
              <w:rPr>
                <w:rFonts w:asciiTheme="majorHAnsi" w:hAnsiTheme="majorHAnsi"/>
              </w:rPr>
              <w:t>importance/interest in topic</w:t>
            </w:r>
            <w:r w:rsidRPr="00215C63">
              <w:rPr>
                <w:rFonts w:asciiTheme="majorHAnsi" w:hAnsiTheme="majorHAnsi"/>
              </w:rPr>
              <w:t xml:space="preserve">) </w:t>
            </w:r>
            <w:r w:rsidRPr="00215C63">
              <w:rPr>
                <w:rFonts w:asciiTheme="majorHAnsi" w:hAnsiTheme="majorHAnsi"/>
              </w:rPr>
              <w:sym w:font="Wingdings" w:char="F0E0"/>
            </w:r>
            <w:r w:rsidRPr="00215C63">
              <w:rPr>
                <w:rFonts w:asciiTheme="majorHAnsi" w:hAnsiTheme="majorHAnsi"/>
              </w:rPr>
              <w:t xml:space="preserve"> complications </w:t>
            </w:r>
            <w:r w:rsidRPr="00215C63">
              <w:rPr>
                <w:rFonts w:asciiTheme="majorHAnsi" w:hAnsiTheme="majorHAnsi"/>
              </w:rPr>
              <w:sym w:font="Wingdings" w:char="F0E0"/>
            </w:r>
            <w:r w:rsidRPr="00215C63">
              <w:rPr>
                <w:rFonts w:asciiTheme="majorHAnsi" w:hAnsiTheme="majorHAnsi"/>
              </w:rPr>
              <w:t xml:space="preserve"> kidney disease </w:t>
            </w:r>
            <w:r w:rsidRPr="00215C63">
              <w:rPr>
                <w:rFonts w:asciiTheme="majorHAnsi" w:hAnsiTheme="majorHAnsi"/>
              </w:rPr>
              <w:sym w:font="Wingdings" w:char="F0E0"/>
            </w:r>
            <w:r w:rsidRPr="00215C63">
              <w:rPr>
                <w:rFonts w:asciiTheme="majorHAnsi" w:hAnsiTheme="majorHAnsi"/>
              </w:rPr>
              <w:t xml:space="preserve"> present knowledge/lit review </w:t>
            </w:r>
            <w:r w:rsidRPr="00215C63">
              <w:rPr>
                <w:rFonts w:asciiTheme="majorHAnsi" w:hAnsiTheme="majorHAnsi"/>
              </w:rPr>
              <w:sym w:font="Wingdings" w:char="F0E0"/>
            </w:r>
            <w:r w:rsidRPr="00215C63">
              <w:rPr>
                <w:rFonts w:asciiTheme="majorHAnsi" w:hAnsiTheme="majorHAnsi"/>
              </w:rPr>
              <w:t xml:space="preserve"> </w:t>
            </w:r>
            <w:r w:rsidRPr="00215C63">
              <w:rPr>
                <w:rFonts w:asciiTheme="majorHAnsi" w:hAnsiTheme="majorHAnsi"/>
              </w:rPr>
              <w:t xml:space="preserve">potential biomarker VDBP </w:t>
            </w:r>
            <w:r w:rsidRPr="00215C63">
              <w:rPr>
                <w:rFonts w:asciiTheme="majorHAnsi" w:hAnsiTheme="majorHAnsi"/>
              </w:rPr>
              <w:sym w:font="Wingdings" w:char="F0E0"/>
            </w:r>
            <w:r w:rsidRPr="00215C63">
              <w:rPr>
                <w:rFonts w:asciiTheme="majorHAnsi" w:hAnsiTheme="majorHAnsi"/>
              </w:rPr>
              <w:t xml:space="preserve"> </w:t>
            </w:r>
            <w:r w:rsidRPr="00215C63">
              <w:rPr>
                <w:rFonts w:asciiTheme="majorHAnsi" w:hAnsiTheme="majorHAnsi"/>
              </w:rPr>
              <w:t xml:space="preserve">VDBP and vit D metabolism </w:t>
            </w:r>
            <w:r w:rsidRPr="00215C63">
              <w:rPr>
                <w:rFonts w:asciiTheme="majorHAnsi" w:hAnsiTheme="majorHAnsi"/>
              </w:rPr>
              <w:sym w:font="Wingdings" w:char="F0E0"/>
            </w:r>
            <w:r w:rsidRPr="00215C63">
              <w:rPr>
                <w:rFonts w:asciiTheme="majorHAnsi" w:hAnsiTheme="majorHAnsi"/>
              </w:rPr>
              <w:t xml:space="preserve"> </w:t>
            </w:r>
            <w:r w:rsidRPr="00215C63">
              <w:rPr>
                <w:rFonts w:asciiTheme="majorHAnsi" w:hAnsiTheme="majorHAnsi"/>
              </w:rPr>
              <w:t xml:space="preserve">unclear whether cause or consequence </w:t>
            </w:r>
            <w:r w:rsidRPr="00215C63">
              <w:rPr>
                <w:rFonts w:asciiTheme="majorHAnsi" w:hAnsiTheme="majorHAnsi"/>
              </w:rPr>
              <w:sym w:font="Wingdings" w:char="F0E0"/>
            </w:r>
            <w:r w:rsidRPr="00215C63">
              <w:rPr>
                <w:rFonts w:asciiTheme="majorHAnsi" w:hAnsiTheme="majorHAnsi"/>
              </w:rPr>
              <w:t xml:space="preserve"> aims of study</w:t>
            </w:r>
          </w:p>
        </w:tc>
      </w:tr>
    </w:tbl>
    <w:p w14:paraId="1D9826FB" w14:textId="7EBB1B50" w:rsidR="001C61D5" w:rsidRPr="00215C63" w:rsidRDefault="001C61D5" w:rsidP="001C61D5">
      <w:pPr>
        <w:spacing w:line="276" w:lineRule="auto"/>
        <w:rPr>
          <w:rFonts w:asciiTheme="majorHAnsi" w:hAnsiTheme="majorHAnsi"/>
        </w:rPr>
      </w:pPr>
    </w:p>
    <w:p w14:paraId="0EF322AD" w14:textId="77777777" w:rsidR="008925B9" w:rsidRPr="00215C63" w:rsidRDefault="008925B9" w:rsidP="001C61D5">
      <w:pPr>
        <w:spacing w:line="276" w:lineRule="auto"/>
        <w:rPr>
          <w:rFonts w:asciiTheme="majorHAnsi" w:hAnsiTheme="majorHAnsi"/>
        </w:rPr>
      </w:pPr>
      <w:r w:rsidRPr="00215C63">
        <w:rPr>
          <w:rFonts w:asciiTheme="majorHAnsi" w:hAnsiTheme="majorHAnsi"/>
        </w:rPr>
        <w:t>There has been an increased incidence of vitamin D deficiency in T2DM patients around the world (</w:t>
      </w:r>
      <w:r w:rsidRPr="00215C63">
        <w:rPr>
          <w:rFonts w:asciiTheme="majorHAnsi" w:hAnsiTheme="majorHAnsi"/>
          <w:highlight w:val="yellow"/>
        </w:rPr>
        <w:t>cite</w:t>
      </w:r>
      <w:r w:rsidRPr="00215C63">
        <w:rPr>
          <w:rFonts w:asciiTheme="majorHAnsi" w:hAnsiTheme="majorHAnsi"/>
        </w:rPr>
        <w:t xml:space="preserve">). As well, recent studies have shown that the presence of vitamin D deficiency in diabetes is independently associated with the presence of diabetic nephropathy (DN) </w:t>
      </w:r>
      <w:r w:rsidRPr="00215C63">
        <w:rPr>
          <w:rFonts w:asciiTheme="majorHAnsi" w:hAnsiTheme="majorHAnsi"/>
        </w:rPr>
        <w:fldChar w:fldCharType="begin"/>
      </w:r>
      <w:r w:rsidRPr="00215C63">
        <w:rPr>
          <w:rFonts w:asciiTheme="majorHAnsi" w:hAnsiTheme="majorHAnsi"/>
        </w:rPr>
        <w:instrText xml:space="preserve"> ADDIN ZOTERO_ITEM {"citationID":"1jnjhu2ubo","properties":{"formattedCitation":"(1)","plainCitation":"(1)"},"citationItems":[{"id":711,"uris":["http://zotero.org/users/2281768/items/IGRQ58XV"],"uri":["http://zotero.org/users/2281768/items/IGRQ58XV"]}]} </w:instrText>
      </w:r>
      <w:r w:rsidRPr="00215C63">
        <w:rPr>
          <w:rFonts w:asciiTheme="majorHAnsi" w:hAnsiTheme="majorHAnsi"/>
        </w:rPr>
        <w:fldChar w:fldCharType="separate"/>
      </w:r>
      <w:r w:rsidRPr="00215C63">
        <w:rPr>
          <w:rFonts w:asciiTheme="majorHAnsi" w:hAnsiTheme="majorHAnsi"/>
        </w:rPr>
        <w:t>(1)</w:t>
      </w:r>
      <w:r w:rsidRPr="00215C63">
        <w:rPr>
          <w:rFonts w:asciiTheme="majorHAnsi" w:hAnsiTheme="majorHAnsi"/>
        </w:rPr>
        <w:fldChar w:fldCharType="end"/>
      </w:r>
      <w:r w:rsidRPr="00215C63">
        <w:rPr>
          <w:rFonts w:asciiTheme="majorHAnsi" w:hAnsiTheme="majorHAnsi"/>
        </w:rPr>
        <w:t xml:space="preserve">, which is a leading cause of end-stage renal disease (ESRD) </w:t>
      </w:r>
      <w:r w:rsidRPr="00215C63">
        <w:rPr>
          <w:rFonts w:asciiTheme="majorHAnsi" w:hAnsiTheme="majorHAnsi"/>
        </w:rPr>
        <w:fldChar w:fldCharType="begin"/>
      </w:r>
      <w:r w:rsidRPr="00215C63">
        <w:rPr>
          <w:rFonts w:asciiTheme="majorHAnsi" w:hAnsiTheme="majorHAnsi"/>
        </w:rPr>
        <w:instrText xml:space="preserve"> ADDIN ZOTERO_ITEM {"citationID":"2i36c1eiol","properties":{"formattedCitation":"(2)","plainCitation":"(2)"},"citationItems":[{"id":704,"uris":["http://zotero.org/users/2281768/items/TDRUTTCM"],"uri":["http://zotero.org/users/2281768/items/TDRUTTCM"]}]} </w:instrText>
      </w:r>
      <w:r w:rsidRPr="00215C63">
        <w:rPr>
          <w:rFonts w:asciiTheme="majorHAnsi" w:hAnsiTheme="majorHAnsi"/>
        </w:rPr>
        <w:fldChar w:fldCharType="separate"/>
      </w:r>
      <w:r w:rsidRPr="00215C63">
        <w:rPr>
          <w:rFonts w:asciiTheme="majorHAnsi" w:hAnsiTheme="majorHAnsi"/>
        </w:rPr>
        <w:t>(2)</w:t>
      </w:r>
      <w:r w:rsidRPr="00215C63">
        <w:rPr>
          <w:rFonts w:asciiTheme="majorHAnsi" w:hAnsiTheme="majorHAnsi"/>
        </w:rPr>
        <w:fldChar w:fldCharType="end"/>
      </w:r>
      <w:r w:rsidRPr="00215C63">
        <w:rPr>
          <w:rFonts w:asciiTheme="majorHAnsi" w:hAnsiTheme="majorHAnsi"/>
        </w:rPr>
        <w:t xml:space="preserve">. </w:t>
      </w:r>
    </w:p>
    <w:p w14:paraId="2085EF29" w14:textId="77777777" w:rsidR="008925B9" w:rsidRPr="00215C63" w:rsidRDefault="008925B9" w:rsidP="001C61D5">
      <w:pPr>
        <w:spacing w:line="276" w:lineRule="auto"/>
        <w:rPr>
          <w:rFonts w:asciiTheme="majorHAnsi" w:hAnsiTheme="majorHAnsi"/>
        </w:rPr>
      </w:pPr>
      <w:r w:rsidRPr="00215C63">
        <w:rPr>
          <w:rFonts w:asciiTheme="majorHAnsi" w:hAnsiTheme="majorHAnsi"/>
        </w:rPr>
        <w:t xml:space="preserve">Currently, microalbuminuria is considered to be the first detectable stage of DN </w:t>
      </w:r>
      <w:r w:rsidRPr="00215C63">
        <w:rPr>
          <w:rFonts w:asciiTheme="majorHAnsi" w:hAnsiTheme="majorHAnsi"/>
        </w:rPr>
        <w:fldChar w:fldCharType="begin"/>
      </w:r>
      <w:r w:rsidRPr="00215C63">
        <w:rPr>
          <w:rFonts w:asciiTheme="majorHAnsi" w:hAnsiTheme="majorHAnsi"/>
        </w:rPr>
        <w:instrText xml:space="preserve"> ADDIN ZOTERO_ITEM {"citationID":"1mdclvf6ag","properties":{"formattedCitation":"(3)","plainCitation":"(3)"},"citationItems":[{"id":727,"uris":["http://zotero.org/users/2281768/items/I7TKWSKP"],"uri":["http://zotero.org/users/2281768/items/I7TKWSKP"]}]} </w:instrText>
      </w:r>
      <w:r w:rsidRPr="00215C63">
        <w:rPr>
          <w:rFonts w:asciiTheme="majorHAnsi" w:hAnsiTheme="majorHAnsi"/>
        </w:rPr>
        <w:fldChar w:fldCharType="separate"/>
      </w:r>
      <w:r w:rsidRPr="00215C63">
        <w:rPr>
          <w:rFonts w:asciiTheme="majorHAnsi" w:hAnsiTheme="majorHAnsi"/>
        </w:rPr>
        <w:t>(3)</w:t>
      </w:r>
      <w:r w:rsidRPr="00215C63">
        <w:rPr>
          <w:rFonts w:asciiTheme="majorHAnsi" w:hAnsiTheme="majorHAnsi"/>
        </w:rPr>
        <w:fldChar w:fldCharType="end"/>
      </w:r>
      <w:r w:rsidRPr="00215C63">
        <w:rPr>
          <w:rFonts w:asciiTheme="majorHAnsi" w:hAnsiTheme="majorHAnsi"/>
        </w:rPr>
        <w:t xml:space="preserve">. However, studies such as The United Kingdom Prospective Diabetes Study (UKPDS) and the U.S. National Health and Nutrition Examination Survey (NHANES) have demonstrated high prevalence rates of renal disease early in T2DM </w:t>
      </w:r>
      <w:r w:rsidRPr="00215C63">
        <w:rPr>
          <w:rFonts w:asciiTheme="majorHAnsi" w:hAnsiTheme="majorHAnsi"/>
        </w:rPr>
        <w:fldChar w:fldCharType="begin"/>
      </w:r>
      <w:r w:rsidRPr="00215C63">
        <w:rPr>
          <w:rFonts w:asciiTheme="majorHAnsi" w:hAnsiTheme="majorHAnsi"/>
        </w:rPr>
        <w:instrText xml:space="preserve"> ADDIN ZOTERO_ITEM {"citationID":"53oRcf7f","properties":{"formattedCitation":"(4,5)","plainCitation":"(4,5)"},"citationItems":[{"id":729,"uris":["http://zotero.org/users/2281768/items/6X5TBG37"],"uri":["http://zotero.org/users/2281768/items/6X5TBG37"]},{"id":731,"uris":["http://zotero.org/users/2281768/items/C5DZ35PZ"],"uri":["http://zotero.org/users/2281768/items/C5DZ35PZ"]}]} </w:instrText>
      </w:r>
      <w:r w:rsidRPr="00215C63">
        <w:rPr>
          <w:rFonts w:asciiTheme="majorHAnsi" w:hAnsiTheme="majorHAnsi"/>
        </w:rPr>
        <w:fldChar w:fldCharType="separate"/>
      </w:r>
      <w:r w:rsidRPr="00215C63">
        <w:rPr>
          <w:rFonts w:asciiTheme="majorHAnsi" w:hAnsiTheme="majorHAnsi"/>
        </w:rPr>
        <w:t>(4,5)</w:t>
      </w:r>
      <w:r w:rsidRPr="00215C63">
        <w:rPr>
          <w:rFonts w:asciiTheme="majorHAnsi" w:hAnsiTheme="majorHAnsi"/>
        </w:rPr>
        <w:fldChar w:fldCharType="end"/>
      </w:r>
      <w:r w:rsidRPr="00215C63">
        <w:rPr>
          <w:rFonts w:asciiTheme="majorHAnsi" w:hAnsiTheme="majorHAnsi"/>
        </w:rPr>
        <w:t>. This suggests the pathogenic process leading to DN starts before the clinical detection of T2DM. [</w:t>
      </w:r>
      <w:r w:rsidRPr="00215C63">
        <w:rPr>
          <w:rFonts w:asciiTheme="majorHAnsi" w:hAnsiTheme="majorHAnsi"/>
          <w:highlight w:val="yellow"/>
        </w:rPr>
        <w:t xml:space="preserve">Talk about </w:t>
      </w:r>
      <w:r w:rsidRPr="00215C63">
        <w:rPr>
          <w:rFonts w:asciiTheme="majorHAnsi" w:hAnsiTheme="majorHAnsi"/>
          <w:b/>
          <w:highlight w:val="yellow"/>
        </w:rPr>
        <w:t>renal reserve</w:t>
      </w:r>
      <w:r w:rsidRPr="00215C63">
        <w:rPr>
          <w:rFonts w:asciiTheme="majorHAnsi" w:hAnsiTheme="majorHAnsi"/>
          <w:highlight w:val="yellow"/>
        </w:rPr>
        <w:t>?</w:t>
      </w:r>
      <w:r w:rsidRPr="00215C63">
        <w:rPr>
          <w:rFonts w:asciiTheme="majorHAnsi" w:hAnsiTheme="majorHAnsi"/>
        </w:rPr>
        <w:t>] In order for the early implementation of preventative strategies to decrease the burdens of DN, identification of metabolic risk factors sensitive to early renal decline need to be characterized. However, there is little information available regarding this in populations at high risk for T2DM.</w:t>
      </w:r>
    </w:p>
    <w:p w14:paraId="4D34C718" w14:textId="77777777" w:rsidR="008925B9" w:rsidRPr="00215C63" w:rsidRDefault="008925B9" w:rsidP="001C61D5">
      <w:pPr>
        <w:spacing w:line="276" w:lineRule="auto"/>
        <w:rPr>
          <w:rFonts w:asciiTheme="majorHAnsi" w:hAnsiTheme="majorHAnsi"/>
        </w:rPr>
      </w:pPr>
      <w:r w:rsidRPr="00215C63">
        <w:rPr>
          <w:rFonts w:asciiTheme="majorHAnsi" w:hAnsiTheme="majorHAnsi"/>
        </w:rPr>
        <w:t xml:space="preserve">One potential marker for DN is urinary vitamin D binding protein (VDBP). Diabetic subjects have significantly more urinary VDBP compared to normal subjects, and the amount has been shown to increase with severity of the disease </w:t>
      </w:r>
      <w:r w:rsidRPr="00215C63">
        <w:rPr>
          <w:rFonts w:asciiTheme="majorHAnsi" w:hAnsiTheme="majorHAnsi"/>
        </w:rPr>
        <w:fldChar w:fldCharType="begin"/>
      </w:r>
      <w:r w:rsidRPr="00215C63">
        <w:rPr>
          <w:rFonts w:asciiTheme="majorHAnsi" w:hAnsiTheme="majorHAnsi"/>
        </w:rPr>
        <w:instrText xml:space="preserve"> ADDIN ZOTERO_ITEM {"citationID":"Dxjm8XQQ","properties":{"formattedCitation":"(6,7)","plainCitation":"(6,7)"},"citationItems":[{"id":742,"uris":["http://zotero.org/users/2281768/items/6Z2XF9ZZ"],"uri":["http://zotero.org/users/2281768/items/6Z2XF9ZZ"]},{"id":739,"uris":["http://zotero.org/users/2281768/items/BU3I8WKJ"],"uri":["http://zotero.org/users/2281768/items/BU3I8WKJ"]}]} </w:instrText>
      </w:r>
      <w:r w:rsidRPr="00215C63">
        <w:rPr>
          <w:rFonts w:asciiTheme="majorHAnsi" w:hAnsiTheme="majorHAnsi"/>
        </w:rPr>
        <w:fldChar w:fldCharType="separate"/>
      </w:r>
      <w:r w:rsidRPr="00215C63">
        <w:rPr>
          <w:rFonts w:asciiTheme="majorHAnsi" w:hAnsiTheme="majorHAnsi"/>
        </w:rPr>
        <w:t>(6,7)</w:t>
      </w:r>
      <w:r w:rsidRPr="00215C63">
        <w:rPr>
          <w:rFonts w:asciiTheme="majorHAnsi" w:hAnsiTheme="majorHAnsi"/>
        </w:rPr>
        <w:fldChar w:fldCharType="end"/>
      </w:r>
      <w:r w:rsidRPr="00215C63">
        <w:rPr>
          <w:rFonts w:asciiTheme="majorHAnsi" w:hAnsiTheme="majorHAnsi"/>
        </w:rPr>
        <w:t xml:space="preserve">. </w:t>
      </w:r>
    </w:p>
    <w:p w14:paraId="7CC6BD54" w14:textId="3C74EE68" w:rsidR="008925B9" w:rsidRPr="00215C63" w:rsidRDefault="008925B9" w:rsidP="001C61D5">
      <w:pPr>
        <w:spacing w:line="276" w:lineRule="auto"/>
        <w:rPr>
          <w:rFonts w:asciiTheme="majorHAnsi" w:hAnsiTheme="majorHAnsi"/>
        </w:rPr>
      </w:pPr>
      <w:r w:rsidRPr="00215C63">
        <w:rPr>
          <w:rFonts w:asciiTheme="majorHAnsi" w:hAnsiTheme="majorHAnsi"/>
        </w:rPr>
        <w:t>[</w:t>
      </w:r>
      <w:r w:rsidRPr="00215C63">
        <w:rPr>
          <w:rFonts w:asciiTheme="majorHAnsi" w:hAnsiTheme="majorHAnsi"/>
          <w:highlight w:val="yellow"/>
        </w:rPr>
        <w:t>Pa</w:t>
      </w:r>
      <w:r w:rsidRPr="00215C63">
        <w:rPr>
          <w:rFonts w:asciiTheme="majorHAnsi" w:hAnsiTheme="majorHAnsi"/>
          <w:highlight w:val="yellow"/>
        </w:rPr>
        <w:t>ragraph about vitamin D pathway, notes below</w:t>
      </w:r>
      <w:r w:rsidRPr="00215C63">
        <w:rPr>
          <w:rFonts w:asciiTheme="majorHAnsi" w:hAnsiTheme="majorHAnsi"/>
        </w:rPr>
        <w:t>]</w:t>
      </w:r>
    </w:p>
    <w:p w14:paraId="6F5A4902" w14:textId="1870DA57" w:rsidR="008925B9" w:rsidRPr="00215C63" w:rsidRDefault="008925B9" w:rsidP="001C61D5">
      <w:pPr>
        <w:spacing w:line="276" w:lineRule="auto"/>
        <w:rPr>
          <w:rFonts w:asciiTheme="majorHAnsi" w:hAnsiTheme="majorHAnsi"/>
        </w:rPr>
      </w:pPr>
      <w:r w:rsidRPr="00215C63">
        <w:rPr>
          <w:rFonts w:asciiTheme="majorHAnsi" w:hAnsiTheme="majorHAnsi"/>
        </w:rPr>
        <w:t>However, it is unclear whether the appearance of VDBP in the urine is a</w:t>
      </w:r>
      <w:r w:rsidRPr="00215C63">
        <w:rPr>
          <w:rFonts w:asciiTheme="majorHAnsi" w:hAnsiTheme="majorHAnsi"/>
        </w:rPr>
        <w:t xml:space="preserve"> cause or consequence of T2DM. [</w:t>
      </w:r>
      <w:r w:rsidRPr="00215C63">
        <w:rPr>
          <w:rFonts w:asciiTheme="majorHAnsi" w:hAnsiTheme="majorHAnsi"/>
          <w:highlight w:val="yellow"/>
        </w:rPr>
        <w:t>Details, notes below</w:t>
      </w:r>
      <w:r w:rsidRPr="00215C63">
        <w:rPr>
          <w:rFonts w:asciiTheme="majorHAnsi" w:hAnsiTheme="majorHAnsi"/>
        </w:rPr>
        <w:t>]</w:t>
      </w:r>
    </w:p>
    <w:p w14:paraId="75AFB78D" w14:textId="44CE8B7C" w:rsidR="008925B9" w:rsidRPr="00215C63" w:rsidRDefault="008925B9" w:rsidP="001C61D5">
      <w:pPr>
        <w:spacing w:line="276" w:lineRule="auto"/>
        <w:rPr>
          <w:rFonts w:asciiTheme="majorHAnsi" w:hAnsiTheme="majorHAnsi"/>
        </w:rPr>
      </w:pPr>
      <w:r w:rsidRPr="00215C63">
        <w:rPr>
          <w:rFonts w:asciiTheme="majorHAnsi" w:hAnsiTheme="majorHAnsi"/>
        </w:rPr>
        <w:t xml:space="preserve">The aim of this study is to examine </w:t>
      </w:r>
      <w:r w:rsidRPr="00215C63">
        <w:rPr>
          <w:rFonts w:asciiTheme="majorHAnsi" w:hAnsiTheme="majorHAnsi"/>
        </w:rPr>
        <w:t>whether vitamin D deficiency precedes and potentiates the progression of DN, or progressive renal decline characterized by urinary excretion of VDBP contributes to vitamin D deficiency in patients at high risk for T2DM.</w:t>
      </w:r>
      <w:r w:rsidRPr="00215C63">
        <w:rPr>
          <w:rFonts w:asciiTheme="majorHAnsi" w:hAnsiTheme="majorHAnsi"/>
        </w:rPr>
        <w:t xml:space="preserve"> </w:t>
      </w:r>
      <w:r w:rsidRPr="00215C63">
        <w:rPr>
          <w:rFonts w:asciiTheme="majorHAnsi" w:hAnsiTheme="majorHAnsi"/>
        </w:rPr>
        <w:t>[</w:t>
      </w:r>
      <w:r w:rsidRPr="00215C63">
        <w:rPr>
          <w:rFonts w:asciiTheme="majorHAnsi" w:hAnsiTheme="majorHAnsi"/>
          <w:highlight w:val="yellow"/>
        </w:rPr>
        <w:t>Hypothesis</w:t>
      </w:r>
      <w:r w:rsidRPr="00215C63">
        <w:rPr>
          <w:rFonts w:asciiTheme="majorHAnsi" w:hAnsiTheme="majorHAnsi"/>
        </w:rPr>
        <w:t>] [</w:t>
      </w:r>
      <w:r w:rsidRPr="00215C63">
        <w:rPr>
          <w:rFonts w:asciiTheme="majorHAnsi" w:hAnsiTheme="majorHAnsi"/>
          <w:highlight w:val="yellow"/>
        </w:rPr>
        <w:t>Implications of findings</w:t>
      </w:r>
      <w:r w:rsidRPr="00215C63">
        <w:rPr>
          <w:rFonts w:asciiTheme="majorHAnsi" w:hAnsiTheme="majorHAnsi"/>
        </w:rPr>
        <w:t>]</w:t>
      </w:r>
    </w:p>
    <w:p w14:paraId="76D18787" w14:textId="13E60354" w:rsidR="005571C1" w:rsidRPr="00215C63" w:rsidRDefault="005571C1" w:rsidP="001C61D5">
      <w:pPr>
        <w:pStyle w:val="Heading2"/>
        <w:rPr>
          <w:rFonts w:ascii="Myriad Pro" w:hAnsi="Myriad Pro"/>
          <w:caps w:val="0"/>
        </w:rPr>
      </w:pPr>
      <w:r w:rsidRPr="00215C63">
        <w:rPr>
          <w:rFonts w:ascii="Myriad Pro" w:hAnsi="Myriad Pro"/>
          <w:caps w:val="0"/>
        </w:rPr>
        <w:t>Present knowledge</w:t>
      </w:r>
      <w:r w:rsidR="00FC3A42" w:rsidRPr="00215C63">
        <w:rPr>
          <w:rFonts w:ascii="Myriad Pro" w:hAnsi="Myriad Pro"/>
          <w:caps w:val="0"/>
        </w:rPr>
        <w:t xml:space="preserve"> (see table on last page</w:t>
      </w:r>
      <w:r w:rsidR="0084508B" w:rsidRPr="00215C63">
        <w:rPr>
          <w:rFonts w:ascii="Myriad Pro" w:hAnsi="Myriad Pro"/>
          <w:caps w:val="0"/>
        </w:rPr>
        <w:t xml:space="preserve"> for lit review</w:t>
      </w:r>
      <w:r w:rsidR="008925B9" w:rsidRPr="00215C63">
        <w:rPr>
          <w:rFonts w:ascii="Myriad Pro" w:hAnsi="Myriad Pro"/>
          <w:caps w:val="0"/>
        </w:rPr>
        <w:t xml:space="preserve"> summary</w:t>
      </w:r>
      <w:r w:rsidR="00FC3A42" w:rsidRPr="00215C63">
        <w:rPr>
          <w:rFonts w:ascii="Myriad Pro" w:hAnsi="Myriad Pro"/>
          <w:caps w:val="0"/>
        </w:rPr>
        <w:t>)</w:t>
      </w:r>
    </w:p>
    <w:p w14:paraId="5F494711" w14:textId="76924756" w:rsidR="003F55D1" w:rsidRPr="00215C63" w:rsidRDefault="003F55D1" w:rsidP="001C61D5">
      <w:pPr>
        <w:pStyle w:val="ListParagraph"/>
        <w:numPr>
          <w:ilvl w:val="0"/>
          <w:numId w:val="2"/>
        </w:numPr>
        <w:spacing w:line="276" w:lineRule="auto"/>
        <w:rPr>
          <w:rFonts w:asciiTheme="majorHAnsi" w:hAnsiTheme="majorHAnsi"/>
        </w:rPr>
      </w:pPr>
      <w:r w:rsidRPr="00215C63">
        <w:rPr>
          <w:rFonts w:asciiTheme="majorHAnsi" w:hAnsiTheme="majorHAnsi"/>
        </w:rPr>
        <w:t>T1DM study suggest that VDBP loss in urine can explain low vitamin D levels in diabetics</w:t>
      </w:r>
      <w:r w:rsidR="0084508B" w:rsidRPr="00215C63">
        <w:rPr>
          <w:rFonts w:asciiTheme="majorHAnsi" w:hAnsiTheme="majorHAnsi"/>
        </w:rPr>
        <w:t xml:space="preserve"> </w:t>
      </w:r>
      <w:r w:rsidR="0084508B" w:rsidRPr="00215C63">
        <w:rPr>
          <w:rFonts w:asciiTheme="majorHAnsi" w:hAnsiTheme="majorHAnsi"/>
        </w:rPr>
        <w:fldChar w:fldCharType="begin"/>
      </w:r>
      <w:r w:rsidR="0084508B" w:rsidRPr="00215C63">
        <w:rPr>
          <w:rFonts w:asciiTheme="majorHAnsi" w:hAnsiTheme="majorHAnsi"/>
        </w:rPr>
        <w:instrText xml:space="preserve"> ADDIN ZOTERO_ITEM {"citationID":"2g3su4v27k","properties":{"formattedCitation":"(6)","plainCitation":"(6)"},"citationItems":[{"id":742,"uris":["http://zotero.org/users/2281768/items/6Z2XF9ZZ"],"uri":["http://zotero.org/users/2281768/items/6Z2XF9ZZ"]}]} </w:instrText>
      </w:r>
      <w:r w:rsidR="0084508B" w:rsidRPr="00215C63">
        <w:rPr>
          <w:rFonts w:asciiTheme="majorHAnsi" w:hAnsiTheme="majorHAnsi"/>
        </w:rPr>
        <w:fldChar w:fldCharType="separate"/>
      </w:r>
      <w:r w:rsidR="0084508B" w:rsidRPr="00215C63">
        <w:rPr>
          <w:rFonts w:asciiTheme="majorHAnsi" w:hAnsiTheme="majorHAnsi"/>
        </w:rPr>
        <w:t>(6)</w:t>
      </w:r>
      <w:r w:rsidR="0084508B" w:rsidRPr="00215C63">
        <w:rPr>
          <w:rFonts w:asciiTheme="majorHAnsi" w:hAnsiTheme="majorHAnsi"/>
        </w:rPr>
        <w:fldChar w:fldCharType="end"/>
      </w:r>
    </w:p>
    <w:p w14:paraId="19384F4A" w14:textId="77777777" w:rsidR="003F55D1" w:rsidRPr="00215C63" w:rsidRDefault="003F55D1" w:rsidP="001C61D5">
      <w:pPr>
        <w:pStyle w:val="ListParagraph"/>
        <w:numPr>
          <w:ilvl w:val="0"/>
          <w:numId w:val="2"/>
        </w:numPr>
        <w:spacing w:line="276" w:lineRule="auto"/>
        <w:rPr>
          <w:rFonts w:asciiTheme="majorHAnsi" w:hAnsiTheme="majorHAnsi"/>
        </w:rPr>
      </w:pPr>
      <w:r w:rsidRPr="00215C63">
        <w:rPr>
          <w:rFonts w:asciiTheme="majorHAnsi" w:hAnsiTheme="majorHAnsi"/>
        </w:rPr>
        <w:t>Other studies agree that there is more VDBP present in disease state vs control</w:t>
      </w:r>
    </w:p>
    <w:p w14:paraId="07C9F1B6" w14:textId="610B05CE" w:rsidR="009E6DB6" w:rsidRPr="00215C63" w:rsidRDefault="009E6DB6" w:rsidP="001C61D5">
      <w:pPr>
        <w:pStyle w:val="ListParagraph"/>
        <w:numPr>
          <w:ilvl w:val="0"/>
          <w:numId w:val="2"/>
        </w:numPr>
        <w:spacing w:line="276" w:lineRule="auto"/>
        <w:rPr>
          <w:rFonts w:asciiTheme="majorHAnsi" w:hAnsiTheme="majorHAnsi"/>
        </w:rPr>
      </w:pPr>
      <w:r w:rsidRPr="00215C63">
        <w:rPr>
          <w:rFonts w:asciiTheme="majorHAnsi" w:hAnsiTheme="majorHAnsi"/>
        </w:rPr>
        <w:t>Rats with T2DM demonstrated excessive excretion of VDBP complex (</w:t>
      </w:r>
      <w:r w:rsidRPr="00215C63">
        <w:rPr>
          <w:rFonts w:asciiTheme="majorHAnsi" w:hAnsiTheme="majorHAnsi"/>
          <w:highlight w:val="yellow"/>
        </w:rPr>
        <w:t>cite</w:t>
      </w:r>
      <w:r w:rsidRPr="00215C63">
        <w:rPr>
          <w:rFonts w:asciiTheme="majorHAnsi" w:hAnsiTheme="majorHAnsi"/>
        </w:rPr>
        <w:t>)</w:t>
      </w:r>
    </w:p>
    <w:p w14:paraId="614A1AF2" w14:textId="7B0DF208" w:rsidR="009E6DB6" w:rsidRPr="00215C63" w:rsidRDefault="009E6DB6" w:rsidP="001C61D5">
      <w:pPr>
        <w:pStyle w:val="ListParagraph"/>
        <w:numPr>
          <w:ilvl w:val="0"/>
          <w:numId w:val="2"/>
        </w:numPr>
        <w:spacing w:line="276" w:lineRule="auto"/>
        <w:rPr>
          <w:rFonts w:asciiTheme="majorHAnsi" w:hAnsiTheme="majorHAnsi"/>
        </w:rPr>
      </w:pPr>
      <w:r w:rsidRPr="00215C63">
        <w:rPr>
          <w:rFonts w:asciiTheme="majorHAnsi" w:hAnsiTheme="majorHAnsi"/>
        </w:rPr>
        <w:t>Starch resistant to digestion (high-amylose maize) prevented excretion of VDBP complex in T1DM rats</w:t>
      </w:r>
    </w:p>
    <w:p w14:paraId="7A21E09C" w14:textId="0569174E" w:rsidR="0066043E" w:rsidRPr="00D15B58" w:rsidRDefault="00D15B58" w:rsidP="001C61D5">
      <w:pPr>
        <w:pStyle w:val="Heading3"/>
        <w:rPr>
          <w:rFonts w:ascii="Myriad Pro" w:hAnsi="Myriad Pro"/>
          <w:smallCaps w:val="0"/>
          <w:sz w:val="22"/>
          <w:szCs w:val="22"/>
        </w:rPr>
      </w:pPr>
      <w:r>
        <w:rPr>
          <w:rFonts w:ascii="Myriad Pro" w:hAnsi="Myriad Pro"/>
          <w:smallCaps w:val="0"/>
          <w:sz w:val="22"/>
          <w:szCs w:val="22"/>
        </w:rPr>
        <w:t>Vitamin D Pathway</w:t>
      </w:r>
    </w:p>
    <w:p w14:paraId="2A942907" w14:textId="5078CF0D" w:rsidR="0066043E" w:rsidRPr="00215C63" w:rsidRDefault="0066043E" w:rsidP="001C61D5">
      <w:pPr>
        <w:pStyle w:val="ListParagraph"/>
        <w:numPr>
          <w:ilvl w:val="0"/>
          <w:numId w:val="6"/>
        </w:numPr>
        <w:spacing w:line="276" w:lineRule="auto"/>
        <w:rPr>
          <w:rFonts w:asciiTheme="majorHAnsi" w:hAnsiTheme="majorHAnsi"/>
        </w:rPr>
      </w:pPr>
      <w:r w:rsidRPr="00215C63">
        <w:rPr>
          <w:rFonts w:asciiTheme="majorHAnsi" w:hAnsiTheme="majorHAnsi"/>
        </w:rPr>
        <w:t>88% of 25(OH)D i</w:t>
      </w:r>
      <w:r w:rsidR="0056048C" w:rsidRPr="00215C63">
        <w:rPr>
          <w:rFonts w:asciiTheme="majorHAnsi" w:hAnsiTheme="majorHAnsi"/>
        </w:rPr>
        <w:t xml:space="preserve">n circulation is bound to VDBP </w:t>
      </w:r>
      <w:r w:rsidR="0056048C" w:rsidRPr="00215C63">
        <w:rPr>
          <w:rFonts w:asciiTheme="majorHAnsi" w:hAnsiTheme="majorHAnsi"/>
        </w:rPr>
        <w:fldChar w:fldCharType="begin"/>
      </w:r>
      <w:r w:rsidR="0084508B" w:rsidRPr="00215C63">
        <w:rPr>
          <w:rFonts w:asciiTheme="majorHAnsi" w:hAnsiTheme="majorHAnsi"/>
        </w:rPr>
        <w:instrText xml:space="preserve"> ADDIN ZOTERO_ITEM {"citationID":"123k987i9m","properties":{"formattedCitation":"(8)","plainCitation":"(8)"},"citationItems":[{"id":735,"uris":["http://zotero.org/users/2281768/items/9M82SR9G"],"uri":["http://zotero.org/users/2281768/items/9M82SR9G"]}]} </w:instrText>
      </w:r>
      <w:r w:rsidR="0056048C" w:rsidRPr="00215C63">
        <w:rPr>
          <w:rFonts w:asciiTheme="majorHAnsi" w:hAnsiTheme="majorHAnsi"/>
        </w:rPr>
        <w:fldChar w:fldCharType="separate"/>
      </w:r>
      <w:r w:rsidR="0084508B" w:rsidRPr="00215C63">
        <w:rPr>
          <w:rFonts w:asciiTheme="majorHAnsi" w:hAnsiTheme="majorHAnsi"/>
        </w:rPr>
        <w:t>(8)</w:t>
      </w:r>
      <w:r w:rsidR="0056048C" w:rsidRPr="00215C63">
        <w:rPr>
          <w:rFonts w:asciiTheme="majorHAnsi" w:hAnsiTheme="majorHAnsi"/>
        </w:rPr>
        <w:fldChar w:fldCharType="end"/>
      </w:r>
    </w:p>
    <w:p w14:paraId="37B0132D" w14:textId="46D9590A" w:rsidR="0066043E" w:rsidRPr="00215C63" w:rsidRDefault="0066043E" w:rsidP="001C61D5">
      <w:pPr>
        <w:pStyle w:val="ListParagraph"/>
        <w:numPr>
          <w:ilvl w:val="0"/>
          <w:numId w:val="6"/>
        </w:numPr>
        <w:spacing w:line="276" w:lineRule="auto"/>
        <w:rPr>
          <w:rFonts w:asciiTheme="majorHAnsi" w:hAnsiTheme="majorHAnsi"/>
        </w:rPr>
      </w:pPr>
      <w:r w:rsidRPr="00215C63">
        <w:rPr>
          <w:rFonts w:asciiTheme="majorHAnsi" w:hAnsiTheme="majorHAnsi"/>
        </w:rPr>
        <w:t xml:space="preserve">VDBP + 25(OH)D complex </w:t>
      </w:r>
      <w:r w:rsidRPr="00215C63">
        <w:rPr>
          <w:rFonts w:asciiTheme="majorHAnsi" w:hAnsiTheme="majorHAnsi"/>
        </w:rPr>
        <w:sym w:font="Wingdings" w:char="F0E0"/>
      </w:r>
      <w:r w:rsidRPr="00215C63">
        <w:rPr>
          <w:rFonts w:asciiTheme="majorHAnsi" w:hAnsiTheme="majorHAnsi"/>
        </w:rPr>
        <w:t xml:space="preserve"> freely cross glomerulus </w:t>
      </w:r>
      <w:r w:rsidRPr="00215C63">
        <w:rPr>
          <w:rFonts w:asciiTheme="majorHAnsi" w:hAnsiTheme="majorHAnsi"/>
        </w:rPr>
        <w:sym w:font="Wingdings" w:char="F0E0"/>
      </w:r>
      <w:r w:rsidRPr="00215C63">
        <w:rPr>
          <w:rFonts w:asciiTheme="majorHAnsi" w:hAnsiTheme="majorHAnsi"/>
        </w:rPr>
        <w:t xml:space="preserve"> transported to proximal tubule </w:t>
      </w:r>
      <w:r w:rsidRPr="00215C63">
        <w:rPr>
          <w:rFonts w:asciiTheme="majorHAnsi" w:hAnsiTheme="majorHAnsi"/>
        </w:rPr>
        <w:sym w:font="Wingdings" w:char="F0E0"/>
      </w:r>
      <w:r w:rsidRPr="00215C63">
        <w:rPr>
          <w:rFonts w:asciiTheme="majorHAnsi" w:hAnsiTheme="majorHAnsi"/>
        </w:rPr>
        <w:t xml:space="preserve"> VDBP + 25(OH)D reabsorbed by megalin </w:t>
      </w:r>
      <w:r w:rsidRPr="00215C63">
        <w:rPr>
          <w:rFonts w:asciiTheme="majorHAnsi" w:hAnsiTheme="majorHAnsi"/>
        </w:rPr>
        <w:sym w:font="Wingdings" w:char="F0E0"/>
      </w:r>
      <w:r w:rsidRPr="00215C63">
        <w:rPr>
          <w:rFonts w:asciiTheme="majorHAnsi" w:hAnsiTheme="majorHAnsi"/>
        </w:rPr>
        <w:t xml:space="preserve"> 1α-hydroxylase from proximal tubule epithelial cells converts 25(OH)D to 1,25(OH)</w:t>
      </w:r>
      <w:r w:rsidRPr="00215C63">
        <w:rPr>
          <w:rFonts w:asciiTheme="majorHAnsi" w:hAnsiTheme="majorHAnsi"/>
          <w:vertAlign w:val="subscript"/>
        </w:rPr>
        <w:t>2</w:t>
      </w:r>
      <w:r w:rsidRPr="00215C63">
        <w:rPr>
          <w:rFonts w:asciiTheme="majorHAnsi" w:hAnsiTheme="majorHAnsi"/>
        </w:rPr>
        <w:t xml:space="preserve">D </w:t>
      </w:r>
    </w:p>
    <w:p w14:paraId="08F7F5BC" w14:textId="248DBADC" w:rsidR="007838F3" w:rsidRPr="00215C63" w:rsidRDefault="007838F3" w:rsidP="001C61D5">
      <w:pPr>
        <w:pStyle w:val="ListParagraph"/>
        <w:numPr>
          <w:ilvl w:val="1"/>
          <w:numId w:val="6"/>
        </w:numPr>
        <w:spacing w:line="276" w:lineRule="auto"/>
        <w:rPr>
          <w:rFonts w:asciiTheme="majorHAnsi" w:hAnsiTheme="majorHAnsi"/>
        </w:rPr>
      </w:pPr>
      <w:r w:rsidRPr="00215C63">
        <w:rPr>
          <w:rFonts w:asciiTheme="majorHAnsi" w:hAnsiTheme="majorHAnsi"/>
        </w:rPr>
        <w:t>Renal reabsorption of VDBP complex is mediated through megalin endocytosis. This determines whether 25(OH)D becomes activated 1,25(OH)2D or returned to circulation</w:t>
      </w:r>
    </w:p>
    <w:p w14:paraId="204683E1" w14:textId="474BD2C5" w:rsidR="008E68DC" w:rsidRPr="00D15B58" w:rsidRDefault="00D15B58" w:rsidP="001C61D5">
      <w:pPr>
        <w:pStyle w:val="Heading3"/>
        <w:rPr>
          <w:rFonts w:ascii="Myriad Pro" w:hAnsi="Myriad Pro"/>
          <w:smallCaps w:val="0"/>
          <w:sz w:val="22"/>
          <w:szCs w:val="22"/>
        </w:rPr>
      </w:pPr>
      <w:r>
        <w:rPr>
          <w:rFonts w:ascii="Myriad Pro" w:hAnsi="Myriad Pro"/>
          <w:smallCaps w:val="0"/>
          <w:sz w:val="22"/>
          <w:szCs w:val="22"/>
        </w:rPr>
        <w:t>Gaps in knowledge</w:t>
      </w:r>
    </w:p>
    <w:p w14:paraId="4C3E18D8" w14:textId="77777777" w:rsidR="003F55D1" w:rsidRPr="00215C63" w:rsidRDefault="003F55D1" w:rsidP="001C61D5">
      <w:pPr>
        <w:pStyle w:val="ListParagraph"/>
        <w:numPr>
          <w:ilvl w:val="0"/>
          <w:numId w:val="2"/>
        </w:numPr>
        <w:spacing w:line="276" w:lineRule="auto"/>
        <w:rPr>
          <w:rFonts w:asciiTheme="majorHAnsi" w:hAnsiTheme="majorHAnsi"/>
        </w:rPr>
      </w:pPr>
      <w:r w:rsidRPr="00215C63">
        <w:rPr>
          <w:rFonts w:asciiTheme="majorHAnsi" w:hAnsiTheme="majorHAnsi"/>
        </w:rPr>
        <w:t>Quality of VDBP as a biomarker is uncertain</w:t>
      </w:r>
    </w:p>
    <w:p w14:paraId="054BE29A" w14:textId="77777777" w:rsidR="003F55D1" w:rsidRPr="00215C63" w:rsidRDefault="003F55D1" w:rsidP="001C61D5">
      <w:pPr>
        <w:pStyle w:val="ListParagraph"/>
        <w:numPr>
          <w:ilvl w:val="0"/>
          <w:numId w:val="2"/>
        </w:numPr>
        <w:spacing w:line="276" w:lineRule="auto"/>
        <w:rPr>
          <w:rFonts w:asciiTheme="majorHAnsi" w:hAnsiTheme="majorHAnsi"/>
        </w:rPr>
      </w:pPr>
      <w:r w:rsidRPr="00215C63">
        <w:rPr>
          <w:rFonts w:asciiTheme="majorHAnsi" w:hAnsiTheme="majorHAnsi"/>
        </w:rPr>
        <w:t>VDBP as a cause for vitamin D deficiency in diabetes is uncertain</w:t>
      </w:r>
    </w:p>
    <w:p w14:paraId="4B40D00A" w14:textId="77777777" w:rsidR="003F55D1" w:rsidRPr="00215C63" w:rsidRDefault="003F55D1" w:rsidP="001C61D5">
      <w:pPr>
        <w:pStyle w:val="ListParagraph"/>
        <w:numPr>
          <w:ilvl w:val="0"/>
          <w:numId w:val="2"/>
        </w:numPr>
        <w:spacing w:line="276" w:lineRule="auto"/>
        <w:rPr>
          <w:rFonts w:asciiTheme="majorHAnsi" w:hAnsiTheme="majorHAnsi"/>
        </w:rPr>
      </w:pPr>
      <w:r w:rsidRPr="00215C63">
        <w:rPr>
          <w:rFonts w:asciiTheme="majorHAnsi" w:hAnsiTheme="majorHAnsi"/>
        </w:rPr>
        <w:t>Uncertain whether VDBP loss in urine is cause or consequence of diabetes (this can be examined using a longitudinal study)</w:t>
      </w:r>
    </w:p>
    <w:p w14:paraId="36A286A2" w14:textId="77777777" w:rsidR="001C61D5" w:rsidRPr="00215C63" w:rsidRDefault="001C61D5" w:rsidP="001C61D5">
      <w:pPr>
        <w:pStyle w:val="ListParagraph"/>
        <w:spacing w:line="276" w:lineRule="auto"/>
        <w:rPr>
          <w:rFonts w:asciiTheme="majorHAnsi" w:hAnsiTheme="majorHAnsi"/>
        </w:rPr>
      </w:pPr>
    </w:p>
    <w:p w14:paraId="1079DBEA" w14:textId="77777777" w:rsidR="005571C1" w:rsidRPr="00215C63" w:rsidRDefault="005571C1" w:rsidP="001C61D5">
      <w:pPr>
        <w:pStyle w:val="Heading2"/>
        <w:rPr>
          <w:rFonts w:ascii="Myriad Pro" w:hAnsi="Myriad Pro"/>
          <w:caps w:val="0"/>
        </w:rPr>
      </w:pPr>
      <w:r w:rsidRPr="00215C63">
        <w:rPr>
          <w:rFonts w:ascii="Myriad Pro" w:hAnsi="Myriad Pro"/>
          <w:caps w:val="0"/>
        </w:rPr>
        <w:lastRenderedPageBreak/>
        <w:t>Project focus &amp; hypothesis</w:t>
      </w:r>
    </w:p>
    <w:p w14:paraId="09908F5F" w14:textId="0962323C" w:rsidR="0066043E" w:rsidRPr="00215C63" w:rsidRDefault="003F55D1" w:rsidP="001C61D5">
      <w:pPr>
        <w:pStyle w:val="ListParagraph"/>
        <w:numPr>
          <w:ilvl w:val="0"/>
          <w:numId w:val="3"/>
        </w:numPr>
        <w:spacing w:line="276" w:lineRule="auto"/>
        <w:rPr>
          <w:rFonts w:asciiTheme="majorHAnsi" w:hAnsiTheme="majorHAnsi"/>
        </w:rPr>
      </w:pPr>
      <w:r w:rsidRPr="00215C63">
        <w:rPr>
          <w:rFonts w:asciiTheme="majorHAnsi" w:hAnsiTheme="majorHAnsi"/>
        </w:rPr>
        <w:t>Determine whether VDBP loss in urine i</w:t>
      </w:r>
      <w:r w:rsidR="0066043E" w:rsidRPr="00215C63">
        <w:rPr>
          <w:rFonts w:asciiTheme="majorHAnsi" w:hAnsiTheme="majorHAnsi"/>
        </w:rPr>
        <w:t>s a cause or consequence of T2DM</w:t>
      </w:r>
    </w:p>
    <w:p w14:paraId="7F84168E" w14:textId="4A5B14BC" w:rsidR="0066043E" w:rsidRPr="00215C63" w:rsidRDefault="0066043E" w:rsidP="001C61D5">
      <w:pPr>
        <w:pStyle w:val="ListParagraph"/>
        <w:numPr>
          <w:ilvl w:val="1"/>
          <w:numId w:val="3"/>
        </w:numPr>
        <w:spacing w:line="276" w:lineRule="auto"/>
        <w:rPr>
          <w:rFonts w:asciiTheme="majorHAnsi" w:hAnsiTheme="majorHAnsi"/>
        </w:rPr>
      </w:pPr>
      <w:r w:rsidRPr="00215C63">
        <w:rPr>
          <w:rFonts w:asciiTheme="majorHAnsi" w:hAnsiTheme="majorHAnsi"/>
        </w:rPr>
        <w:t>Vitamin D deficiency precedes and potentiates the progression of diabetic nephropathy</w:t>
      </w:r>
    </w:p>
    <w:p w14:paraId="23374BF0" w14:textId="352BE540" w:rsidR="0066043E" w:rsidRPr="00215C63" w:rsidRDefault="0066043E" w:rsidP="001C61D5">
      <w:pPr>
        <w:pStyle w:val="ListParagraph"/>
        <w:numPr>
          <w:ilvl w:val="2"/>
          <w:numId w:val="3"/>
        </w:numPr>
        <w:spacing w:line="276" w:lineRule="auto"/>
        <w:rPr>
          <w:rFonts w:asciiTheme="majorHAnsi" w:hAnsiTheme="majorHAnsi"/>
        </w:rPr>
      </w:pPr>
      <w:r w:rsidRPr="00215C63">
        <w:rPr>
          <w:rFonts w:asciiTheme="majorHAnsi" w:hAnsiTheme="majorHAnsi"/>
        </w:rPr>
        <w:t xml:space="preserve">Evidence: angiotensin-1 receptor antagonists and activated vitamin D analogue </w:t>
      </w:r>
      <w:r w:rsidRPr="00215C63">
        <w:rPr>
          <w:rFonts w:asciiTheme="majorHAnsi" w:hAnsiTheme="majorHAnsi"/>
        </w:rPr>
        <w:sym w:font="Wingdings" w:char="F0E8"/>
      </w:r>
      <w:r w:rsidR="0084508B" w:rsidRPr="00215C63">
        <w:rPr>
          <w:rFonts w:asciiTheme="majorHAnsi" w:hAnsiTheme="majorHAnsi"/>
        </w:rPr>
        <w:t xml:space="preserve"> improves diabetic nephropathy </w:t>
      </w:r>
      <w:r w:rsidR="0084508B" w:rsidRPr="00215C63">
        <w:rPr>
          <w:rFonts w:asciiTheme="majorHAnsi" w:hAnsiTheme="majorHAnsi"/>
        </w:rPr>
        <w:fldChar w:fldCharType="begin"/>
      </w:r>
      <w:r w:rsidR="0084508B" w:rsidRPr="00215C63">
        <w:rPr>
          <w:rFonts w:asciiTheme="majorHAnsi" w:hAnsiTheme="majorHAnsi"/>
        </w:rPr>
        <w:instrText xml:space="preserve"> ADDIN ZOTERO_ITEM {"citationID":"23o5smevma","properties":{"formattedCitation":"(9)","plainCitation":"(9)"},"citationItems":[{"id":737,"uris":["http://zotero.org/users/2281768/items/WUUXFGRH"],"uri":["http://zotero.org/users/2281768/items/WUUXFGRH"]}]} </w:instrText>
      </w:r>
      <w:r w:rsidR="0084508B" w:rsidRPr="00215C63">
        <w:rPr>
          <w:rFonts w:asciiTheme="majorHAnsi" w:hAnsiTheme="majorHAnsi"/>
        </w:rPr>
        <w:fldChar w:fldCharType="separate"/>
      </w:r>
      <w:r w:rsidR="0084508B" w:rsidRPr="00215C63">
        <w:rPr>
          <w:rFonts w:asciiTheme="majorHAnsi" w:hAnsiTheme="majorHAnsi"/>
        </w:rPr>
        <w:t>(9)</w:t>
      </w:r>
      <w:r w:rsidR="0084508B" w:rsidRPr="00215C63">
        <w:rPr>
          <w:rFonts w:asciiTheme="majorHAnsi" w:hAnsiTheme="majorHAnsi"/>
        </w:rPr>
        <w:fldChar w:fldCharType="end"/>
      </w:r>
    </w:p>
    <w:p w14:paraId="0E7756E7" w14:textId="49310F39" w:rsidR="0066043E" w:rsidRPr="00215C63" w:rsidRDefault="0066043E" w:rsidP="001C61D5">
      <w:pPr>
        <w:pStyle w:val="ListParagraph"/>
        <w:numPr>
          <w:ilvl w:val="2"/>
          <w:numId w:val="3"/>
        </w:numPr>
        <w:spacing w:line="276" w:lineRule="auto"/>
        <w:rPr>
          <w:rFonts w:asciiTheme="majorHAnsi" w:hAnsiTheme="majorHAnsi"/>
        </w:rPr>
      </w:pPr>
      <w:r w:rsidRPr="00215C63">
        <w:rPr>
          <w:rFonts w:asciiTheme="majorHAnsi" w:hAnsiTheme="majorHAnsi"/>
        </w:rPr>
        <w:t>Evidence against: 2001-2006 National Health and Nutrition Examination Survey reported high levels of vitamin D deficiency in diabetic adults, with and without nephropathy</w:t>
      </w:r>
    </w:p>
    <w:p w14:paraId="3DB69679" w14:textId="56FC98A7" w:rsidR="0066043E" w:rsidRPr="00215C63" w:rsidRDefault="0066043E" w:rsidP="001C61D5">
      <w:pPr>
        <w:pStyle w:val="ListParagraph"/>
        <w:numPr>
          <w:ilvl w:val="1"/>
          <w:numId w:val="3"/>
        </w:numPr>
        <w:spacing w:line="276" w:lineRule="auto"/>
        <w:rPr>
          <w:rFonts w:asciiTheme="majorHAnsi" w:hAnsiTheme="majorHAnsi"/>
        </w:rPr>
      </w:pPr>
      <w:r w:rsidRPr="00215C63">
        <w:rPr>
          <w:rFonts w:asciiTheme="majorHAnsi" w:hAnsiTheme="majorHAnsi"/>
        </w:rPr>
        <w:t>Progressive renal decline (characterized by increased VDBP excretion) contributes to vitamin D deficiency</w:t>
      </w:r>
    </w:p>
    <w:p w14:paraId="5D6953AB" w14:textId="77777777" w:rsidR="003F55D1" w:rsidRPr="00215C63" w:rsidRDefault="003F55D1" w:rsidP="001C61D5">
      <w:pPr>
        <w:pStyle w:val="ListParagraph"/>
        <w:numPr>
          <w:ilvl w:val="0"/>
          <w:numId w:val="3"/>
        </w:numPr>
        <w:spacing w:line="276" w:lineRule="auto"/>
        <w:rPr>
          <w:rFonts w:asciiTheme="majorHAnsi" w:hAnsiTheme="majorHAnsi"/>
        </w:rPr>
      </w:pPr>
      <w:r w:rsidRPr="00215C63">
        <w:rPr>
          <w:rFonts w:asciiTheme="majorHAnsi" w:hAnsiTheme="majorHAnsi"/>
        </w:rPr>
        <w:t>Examine the potential mechanism of vitamin D deficiency in T2DM as relating to urinary loss of VDBP</w:t>
      </w:r>
    </w:p>
    <w:p w14:paraId="33242A5D" w14:textId="6D22D48E" w:rsidR="00026DBD" w:rsidRPr="00D15B58" w:rsidRDefault="00026DBD" w:rsidP="001C61D5">
      <w:pPr>
        <w:pStyle w:val="Heading3"/>
        <w:rPr>
          <w:rFonts w:ascii="Myriad Pro" w:hAnsi="Myriad Pro"/>
          <w:smallCaps w:val="0"/>
          <w:sz w:val="22"/>
          <w:szCs w:val="22"/>
        </w:rPr>
      </w:pPr>
      <w:r w:rsidRPr="00D15B58">
        <w:rPr>
          <w:rFonts w:ascii="Myriad Pro" w:hAnsi="Myriad Pro"/>
          <w:smallCaps w:val="0"/>
          <w:sz w:val="22"/>
          <w:szCs w:val="22"/>
        </w:rPr>
        <w:t>Hypothesis</w:t>
      </w:r>
    </w:p>
    <w:p w14:paraId="47218CC9" w14:textId="6C414E1C" w:rsidR="001C61D5" w:rsidRPr="00215C63" w:rsidRDefault="001C61D5" w:rsidP="001C61D5">
      <w:pPr>
        <w:rPr>
          <w:rFonts w:asciiTheme="majorHAnsi" w:hAnsiTheme="majorHAnsi"/>
        </w:rPr>
      </w:pPr>
      <w:r w:rsidRPr="00215C63">
        <w:rPr>
          <w:rFonts w:asciiTheme="majorHAnsi" w:hAnsiTheme="majorHAnsi"/>
        </w:rPr>
        <w:t>??</w:t>
      </w:r>
    </w:p>
    <w:p w14:paraId="2CBB9E44" w14:textId="61960F12" w:rsidR="008E68DC" w:rsidRPr="00D15B58" w:rsidRDefault="008E68DC" w:rsidP="001C61D5">
      <w:pPr>
        <w:pStyle w:val="Heading3"/>
        <w:rPr>
          <w:rFonts w:ascii="Myriad Pro" w:hAnsi="Myriad Pro"/>
          <w:smallCaps w:val="0"/>
          <w:sz w:val="22"/>
          <w:szCs w:val="22"/>
        </w:rPr>
      </w:pPr>
      <w:r w:rsidRPr="00D15B58">
        <w:rPr>
          <w:rFonts w:ascii="Myriad Pro" w:hAnsi="Myriad Pro"/>
          <w:smallCaps w:val="0"/>
          <w:sz w:val="22"/>
          <w:szCs w:val="22"/>
        </w:rPr>
        <w:t>Contribution and implications of finding</w:t>
      </w:r>
    </w:p>
    <w:p w14:paraId="34B353B2" w14:textId="77777777" w:rsidR="008E68DC" w:rsidRPr="00215C63" w:rsidRDefault="008E68DC" w:rsidP="001C61D5">
      <w:pPr>
        <w:pStyle w:val="ListParagraph"/>
        <w:numPr>
          <w:ilvl w:val="0"/>
          <w:numId w:val="5"/>
        </w:numPr>
        <w:spacing w:line="276" w:lineRule="auto"/>
        <w:rPr>
          <w:rFonts w:asciiTheme="majorHAnsi" w:hAnsiTheme="majorHAnsi"/>
        </w:rPr>
      </w:pPr>
      <w:r w:rsidRPr="00215C63">
        <w:rPr>
          <w:rFonts w:asciiTheme="majorHAnsi" w:hAnsiTheme="majorHAnsi"/>
        </w:rPr>
        <w:t>If VDBP is cause of T2DM, it can be used as an early detection biomarker (non-invasive, easy, cheap detection)</w:t>
      </w:r>
    </w:p>
    <w:p w14:paraId="5E9EA7F5" w14:textId="77777777" w:rsidR="005571C1" w:rsidRPr="00215C63" w:rsidRDefault="005571C1" w:rsidP="001C61D5">
      <w:pPr>
        <w:pStyle w:val="Heading1"/>
        <w:rPr>
          <w:rFonts w:ascii="Myriad Pro" w:hAnsi="Myriad Pro"/>
          <w:b/>
        </w:rPr>
      </w:pPr>
      <w:r w:rsidRPr="00215C63">
        <w:rPr>
          <w:rFonts w:ascii="Myriad Pro" w:hAnsi="Myriad Pro"/>
          <w:b/>
        </w:rPr>
        <w:t>Des</w:t>
      </w:r>
      <w:bookmarkStart w:id="0" w:name="_GoBack"/>
      <w:bookmarkEnd w:id="0"/>
      <w:r w:rsidRPr="00215C63">
        <w:rPr>
          <w:rFonts w:ascii="Myriad Pro" w:hAnsi="Myriad Pro"/>
          <w:b/>
        </w:rPr>
        <w:t>ign</w:t>
      </w:r>
    </w:p>
    <w:tbl>
      <w:tblPr>
        <w:tblStyle w:val="TableGrid"/>
        <w:tblW w:w="0" w:type="auto"/>
        <w:tblLook w:val="04A0" w:firstRow="1" w:lastRow="0" w:firstColumn="1" w:lastColumn="0" w:noHBand="0" w:noVBand="1"/>
      </w:tblPr>
      <w:tblGrid>
        <w:gridCol w:w="9350"/>
      </w:tblGrid>
      <w:tr w:rsidR="0084508B" w:rsidRPr="00215C63" w14:paraId="67590051" w14:textId="77777777" w:rsidTr="0084508B">
        <w:tc>
          <w:tcPr>
            <w:tcW w:w="9350" w:type="dxa"/>
          </w:tcPr>
          <w:p w14:paraId="67486927" w14:textId="77777777" w:rsidR="0084508B" w:rsidRPr="00215C63" w:rsidRDefault="0084508B" w:rsidP="001C61D5">
            <w:pPr>
              <w:pStyle w:val="ListParagraph"/>
              <w:numPr>
                <w:ilvl w:val="0"/>
                <w:numId w:val="8"/>
              </w:numPr>
              <w:spacing w:line="276" w:lineRule="auto"/>
              <w:rPr>
                <w:rFonts w:asciiTheme="majorHAnsi" w:hAnsiTheme="majorHAnsi"/>
              </w:rPr>
            </w:pPr>
            <w:r w:rsidRPr="00215C63">
              <w:rPr>
                <w:rFonts w:asciiTheme="majorHAnsi" w:hAnsiTheme="majorHAnsi"/>
              </w:rPr>
              <w:t xml:space="preserve">What is going to be done? </w:t>
            </w:r>
          </w:p>
          <w:p w14:paraId="5EF7E6AA" w14:textId="5FF6FB58" w:rsidR="0084508B" w:rsidRPr="00215C63" w:rsidRDefault="0084508B" w:rsidP="001C61D5">
            <w:pPr>
              <w:pStyle w:val="ListParagraph"/>
              <w:numPr>
                <w:ilvl w:val="0"/>
                <w:numId w:val="8"/>
              </w:numPr>
              <w:spacing w:line="276" w:lineRule="auto"/>
              <w:rPr>
                <w:rFonts w:asciiTheme="majorHAnsi" w:hAnsiTheme="majorHAnsi"/>
              </w:rPr>
            </w:pPr>
            <w:r w:rsidRPr="00215C63">
              <w:rPr>
                <w:rFonts w:asciiTheme="majorHAnsi" w:hAnsiTheme="majorHAnsi"/>
              </w:rPr>
              <w:t>Why are we using this approach?</w:t>
            </w:r>
          </w:p>
        </w:tc>
      </w:tr>
    </w:tbl>
    <w:p w14:paraId="526675D4" w14:textId="77777777" w:rsidR="0084508B" w:rsidRPr="00215C63" w:rsidRDefault="0084508B" w:rsidP="001C61D5">
      <w:pPr>
        <w:spacing w:line="276" w:lineRule="auto"/>
        <w:rPr>
          <w:rFonts w:asciiTheme="majorHAnsi" w:hAnsiTheme="majorHAnsi"/>
        </w:rPr>
      </w:pPr>
    </w:p>
    <w:p w14:paraId="2678C3FB" w14:textId="3A861F84" w:rsidR="00026DBD" w:rsidRPr="00215C63" w:rsidRDefault="00026DBD" w:rsidP="001C61D5">
      <w:pPr>
        <w:spacing w:line="276" w:lineRule="auto"/>
        <w:rPr>
          <w:rFonts w:asciiTheme="majorHAnsi" w:hAnsiTheme="majorHAnsi"/>
          <w:u w:val="single"/>
        </w:rPr>
      </w:pPr>
    </w:p>
    <w:p w14:paraId="5E676840" w14:textId="57AAD722" w:rsidR="005571C1" w:rsidRPr="00215C63" w:rsidRDefault="00026DBD" w:rsidP="001C61D5">
      <w:pPr>
        <w:pStyle w:val="Heading1"/>
        <w:rPr>
          <w:rFonts w:ascii="Myriad Pro" w:hAnsi="Myriad Pro"/>
          <w:b/>
        </w:rPr>
      </w:pPr>
      <w:r w:rsidRPr="00215C63">
        <w:rPr>
          <w:rFonts w:ascii="Myriad Pro" w:hAnsi="Myriad Pro"/>
          <w:b/>
        </w:rPr>
        <w:t>Experimental work &amp; data collection</w:t>
      </w:r>
    </w:p>
    <w:tbl>
      <w:tblPr>
        <w:tblStyle w:val="TableGrid"/>
        <w:tblW w:w="0" w:type="auto"/>
        <w:tblLook w:val="04A0" w:firstRow="1" w:lastRow="0" w:firstColumn="1" w:lastColumn="0" w:noHBand="0" w:noVBand="1"/>
      </w:tblPr>
      <w:tblGrid>
        <w:gridCol w:w="9350"/>
      </w:tblGrid>
      <w:tr w:rsidR="0084508B" w:rsidRPr="00215C63" w14:paraId="37CA760D" w14:textId="77777777" w:rsidTr="0084508B">
        <w:tc>
          <w:tcPr>
            <w:tcW w:w="9350" w:type="dxa"/>
          </w:tcPr>
          <w:p w14:paraId="20E64141" w14:textId="77777777"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 xml:space="preserve">What is the analytical procedure being used? </w:t>
            </w:r>
          </w:p>
          <w:p w14:paraId="1BDF9635" w14:textId="77777777"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 xml:space="preserve">What are the steps taken to ensure reliability, precision, and accuracy? </w:t>
            </w:r>
          </w:p>
          <w:p w14:paraId="7E866D2A" w14:textId="33ADAFE8" w:rsidR="0084508B" w:rsidRPr="00215C63" w:rsidRDefault="008925B9" w:rsidP="001C61D5">
            <w:pPr>
              <w:pStyle w:val="ListParagraph"/>
              <w:numPr>
                <w:ilvl w:val="0"/>
                <w:numId w:val="9"/>
              </w:numPr>
              <w:spacing w:line="276" w:lineRule="auto"/>
              <w:rPr>
                <w:rFonts w:asciiTheme="majorHAnsi" w:hAnsiTheme="majorHAnsi"/>
              </w:rPr>
            </w:pPr>
            <w:r w:rsidRPr="00215C63">
              <w:rPr>
                <w:rFonts w:asciiTheme="majorHAnsi" w:hAnsiTheme="majorHAnsi"/>
              </w:rPr>
              <w:t>N=?</w:t>
            </w:r>
          </w:p>
          <w:p w14:paraId="392FA29E" w14:textId="77777777"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A</w:t>
            </w:r>
            <w:r w:rsidRPr="00215C63">
              <w:rPr>
                <w:rFonts w:asciiTheme="majorHAnsi" w:hAnsiTheme="majorHAnsi"/>
              </w:rPr>
              <w:t xml:space="preserve">nimals/humans? </w:t>
            </w:r>
          </w:p>
          <w:p w14:paraId="031E2DAA" w14:textId="737E5B9D"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Time frame for sample acquisition and analysis?</w:t>
            </w:r>
          </w:p>
        </w:tc>
      </w:tr>
    </w:tbl>
    <w:p w14:paraId="3B9CEA50" w14:textId="77777777" w:rsidR="0084508B" w:rsidRPr="00215C63" w:rsidRDefault="0084508B" w:rsidP="001C61D5">
      <w:pPr>
        <w:spacing w:line="276" w:lineRule="auto"/>
        <w:rPr>
          <w:rFonts w:asciiTheme="majorHAnsi" w:hAnsiTheme="majorHAnsi"/>
        </w:rPr>
      </w:pPr>
    </w:p>
    <w:p w14:paraId="294230D3" w14:textId="2B7A2D45" w:rsidR="008925B9" w:rsidRPr="00215C63" w:rsidRDefault="008925B9" w:rsidP="001C61D5">
      <w:pPr>
        <w:pStyle w:val="ListParagraph"/>
        <w:numPr>
          <w:ilvl w:val="0"/>
          <w:numId w:val="9"/>
        </w:numPr>
        <w:spacing w:line="276" w:lineRule="auto"/>
        <w:rPr>
          <w:rFonts w:asciiTheme="majorHAnsi" w:hAnsiTheme="majorHAnsi"/>
        </w:rPr>
      </w:pPr>
      <w:r w:rsidRPr="00215C63">
        <w:rPr>
          <w:rFonts w:asciiTheme="majorHAnsi" w:hAnsiTheme="majorHAnsi"/>
        </w:rPr>
        <w:t>PROMISE cohort: subjects are at high risk for T2DM</w:t>
      </w:r>
    </w:p>
    <w:p w14:paraId="152025F1" w14:textId="7A583343" w:rsidR="00026DBD" w:rsidRPr="00215C63" w:rsidRDefault="008925B9" w:rsidP="001C61D5">
      <w:pPr>
        <w:pStyle w:val="ListParagraph"/>
        <w:numPr>
          <w:ilvl w:val="0"/>
          <w:numId w:val="9"/>
        </w:numPr>
        <w:spacing w:line="276" w:lineRule="auto"/>
        <w:rPr>
          <w:rFonts w:asciiTheme="majorHAnsi" w:hAnsiTheme="majorHAnsi"/>
        </w:rPr>
      </w:pPr>
      <w:r w:rsidRPr="00215C63">
        <w:rPr>
          <w:rFonts w:asciiTheme="majorHAnsi" w:hAnsiTheme="majorHAnsi"/>
        </w:rPr>
        <w:t>Longitudinal study with follow-ups every 3 years (9 year mark)</w:t>
      </w:r>
    </w:p>
    <w:p w14:paraId="4017381E" w14:textId="77777777" w:rsidR="005571C1" w:rsidRPr="00215C63" w:rsidRDefault="005571C1" w:rsidP="001C61D5">
      <w:pPr>
        <w:pStyle w:val="Heading1"/>
        <w:rPr>
          <w:rFonts w:ascii="Myriad Pro" w:hAnsi="Myriad Pro"/>
          <w:b/>
        </w:rPr>
      </w:pPr>
      <w:r w:rsidRPr="00215C63">
        <w:rPr>
          <w:rFonts w:ascii="Myriad Pro" w:hAnsi="Myriad Pro"/>
          <w:b/>
        </w:rPr>
        <w:t>Data analysis</w:t>
      </w:r>
    </w:p>
    <w:tbl>
      <w:tblPr>
        <w:tblStyle w:val="TableGrid"/>
        <w:tblW w:w="0" w:type="auto"/>
        <w:tblLook w:val="04A0" w:firstRow="1" w:lastRow="0" w:firstColumn="1" w:lastColumn="0" w:noHBand="0" w:noVBand="1"/>
      </w:tblPr>
      <w:tblGrid>
        <w:gridCol w:w="9350"/>
      </w:tblGrid>
      <w:tr w:rsidR="0084508B" w:rsidRPr="00215C63" w14:paraId="289C41DD" w14:textId="77777777" w:rsidTr="0084508B">
        <w:tc>
          <w:tcPr>
            <w:tcW w:w="9350" w:type="dxa"/>
          </w:tcPr>
          <w:p w14:paraId="04E036A0" w14:textId="451942F5" w:rsidR="0084508B" w:rsidRPr="00215C63" w:rsidRDefault="0084508B" w:rsidP="001C61D5">
            <w:pPr>
              <w:pStyle w:val="ListParagraph"/>
              <w:numPr>
                <w:ilvl w:val="0"/>
                <w:numId w:val="10"/>
              </w:numPr>
              <w:spacing w:line="276" w:lineRule="auto"/>
              <w:rPr>
                <w:rFonts w:asciiTheme="majorHAnsi" w:hAnsiTheme="majorHAnsi"/>
              </w:rPr>
            </w:pPr>
            <w:r w:rsidRPr="00215C63">
              <w:rPr>
                <w:rFonts w:asciiTheme="majorHAnsi" w:hAnsiTheme="majorHAnsi"/>
              </w:rPr>
              <w:t>Method used to process data</w:t>
            </w:r>
          </w:p>
        </w:tc>
      </w:tr>
    </w:tbl>
    <w:p w14:paraId="518D9C88" w14:textId="77777777" w:rsidR="0084508B" w:rsidRPr="00215C63" w:rsidRDefault="0084508B" w:rsidP="001C61D5">
      <w:pPr>
        <w:spacing w:line="276" w:lineRule="auto"/>
        <w:rPr>
          <w:rFonts w:asciiTheme="majorHAnsi" w:hAnsiTheme="majorHAnsi"/>
        </w:rPr>
      </w:pPr>
    </w:p>
    <w:p w14:paraId="1A6F4B49" w14:textId="35A88277" w:rsidR="00157955" w:rsidRPr="00215C63" w:rsidRDefault="0084508B" w:rsidP="001C61D5">
      <w:pPr>
        <w:spacing w:line="276" w:lineRule="auto"/>
        <w:rPr>
          <w:rFonts w:asciiTheme="majorHAnsi" w:hAnsiTheme="majorHAnsi"/>
          <w:u w:val="single"/>
        </w:rPr>
      </w:pPr>
      <w:r w:rsidRPr="00215C63">
        <w:rPr>
          <w:rFonts w:asciiTheme="majorHAnsi" w:hAnsiTheme="majorHAnsi"/>
        </w:rPr>
        <w:t>Statistical analysis will be performed using SAS (version 9.3; SAS Institute Inc., Cary, NC) and R statistical software (version…).</w:t>
      </w:r>
    </w:p>
    <w:p w14:paraId="55D09AB5" w14:textId="77777777" w:rsidR="005571C1" w:rsidRPr="00215C63" w:rsidRDefault="005571C1" w:rsidP="001C61D5">
      <w:pPr>
        <w:pStyle w:val="Heading1"/>
        <w:rPr>
          <w:rFonts w:ascii="Myriad Pro" w:hAnsi="Myriad Pro"/>
          <w:b/>
        </w:rPr>
      </w:pPr>
      <w:r w:rsidRPr="00215C63">
        <w:rPr>
          <w:rFonts w:ascii="Myriad Pro" w:hAnsi="Myriad Pro"/>
          <w:b/>
        </w:rPr>
        <w:t>Time allocation</w:t>
      </w:r>
    </w:p>
    <w:tbl>
      <w:tblPr>
        <w:tblStyle w:val="TableGrid"/>
        <w:tblW w:w="0" w:type="auto"/>
        <w:tblLook w:val="04A0" w:firstRow="1" w:lastRow="0" w:firstColumn="1" w:lastColumn="0" w:noHBand="0" w:noVBand="1"/>
      </w:tblPr>
      <w:tblGrid>
        <w:gridCol w:w="3114"/>
        <w:gridCol w:w="6236"/>
      </w:tblGrid>
      <w:tr w:rsidR="005571C1" w14:paraId="4B773BAE" w14:textId="77777777" w:rsidTr="006879A9">
        <w:tc>
          <w:tcPr>
            <w:tcW w:w="3114" w:type="dxa"/>
          </w:tcPr>
          <w:p w14:paraId="3ECBFA5B" w14:textId="77777777" w:rsidR="005571C1" w:rsidRPr="00215C63" w:rsidRDefault="005571C1" w:rsidP="001C61D5">
            <w:pPr>
              <w:spacing w:line="276" w:lineRule="auto"/>
              <w:rPr>
                <w:rFonts w:asciiTheme="majorHAnsi" w:hAnsiTheme="majorHAnsi"/>
              </w:rPr>
            </w:pPr>
            <w:r w:rsidRPr="00215C63">
              <w:rPr>
                <w:rFonts w:asciiTheme="majorHAnsi" w:hAnsiTheme="majorHAnsi"/>
              </w:rPr>
              <w:t>October 2015</w:t>
            </w:r>
          </w:p>
        </w:tc>
        <w:tc>
          <w:tcPr>
            <w:tcW w:w="6236" w:type="dxa"/>
          </w:tcPr>
          <w:p w14:paraId="32503E6A" w14:textId="77777777" w:rsidR="005571C1" w:rsidRPr="00215C63" w:rsidRDefault="005571C1" w:rsidP="001C61D5">
            <w:pPr>
              <w:spacing w:line="276" w:lineRule="auto"/>
              <w:rPr>
                <w:rFonts w:asciiTheme="majorHAnsi" w:hAnsiTheme="majorHAnsi"/>
              </w:rPr>
            </w:pPr>
            <w:r w:rsidRPr="00215C63">
              <w:rPr>
                <w:rFonts w:asciiTheme="majorHAnsi" w:hAnsiTheme="majorHAnsi"/>
              </w:rPr>
              <w:t>Receive urinary data</w:t>
            </w:r>
          </w:p>
        </w:tc>
      </w:tr>
      <w:tr w:rsidR="005571C1" w14:paraId="312A2D4B" w14:textId="77777777" w:rsidTr="006879A9">
        <w:tc>
          <w:tcPr>
            <w:tcW w:w="3114" w:type="dxa"/>
          </w:tcPr>
          <w:p w14:paraId="38394D84" w14:textId="77777777" w:rsidR="005571C1" w:rsidRPr="00215C63" w:rsidRDefault="005571C1" w:rsidP="001C61D5">
            <w:pPr>
              <w:spacing w:line="276" w:lineRule="auto"/>
              <w:rPr>
                <w:rFonts w:asciiTheme="majorHAnsi" w:hAnsiTheme="majorHAnsi"/>
              </w:rPr>
            </w:pPr>
            <w:r w:rsidRPr="00215C63">
              <w:rPr>
                <w:rFonts w:asciiTheme="majorHAnsi" w:hAnsiTheme="majorHAnsi"/>
              </w:rPr>
              <w:t>13 November 2015</w:t>
            </w:r>
          </w:p>
        </w:tc>
        <w:tc>
          <w:tcPr>
            <w:tcW w:w="6236" w:type="dxa"/>
          </w:tcPr>
          <w:p w14:paraId="095F897D" w14:textId="77777777" w:rsidR="005571C1" w:rsidRPr="00215C63" w:rsidRDefault="005571C1" w:rsidP="001C61D5">
            <w:pPr>
              <w:spacing w:line="276" w:lineRule="auto"/>
              <w:rPr>
                <w:rFonts w:asciiTheme="majorHAnsi" w:hAnsiTheme="majorHAnsi"/>
              </w:rPr>
            </w:pPr>
            <w:r w:rsidRPr="00215C63">
              <w:rPr>
                <w:rFonts w:asciiTheme="majorHAnsi" w:hAnsiTheme="majorHAnsi"/>
              </w:rPr>
              <w:t>Submit proposal</w:t>
            </w:r>
            <w:r w:rsidR="006879A9" w:rsidRPr="00215C63">
              <w:rPr>
                <w:rFonts w:asciiTheme="majorHAnsi" w:hAnsiTheme="majorHAnsi"/>
              </w:rPr>
              <w:t xml:space="preserve"> + presentation</w:t>
            </w:r>
          </w:p>
        </w:tc>
      </w:tr>
      <w:tr w:rsidR="005571C1" w14:paraId="0A670532" w14:textId="77777777" w:rsidTr="006879A9">
        <w:tc>
          <w:tcPr>
            <w:tcW w:w="3114" w:type="dxa"/>
          </w:tcPr>
          <w:p w14:paraId="3A186885" w14:textId="77777777" w:rsidR="005571C1" w:rsidRPr="00215C63" w:rsidRDefault="006879A9" w:rsidP="001C61D5">
            <w:pPr>
              <w:spacing w:line="276" w:lineRule="auto"/>
              <w:rPr>
                <w:rFonts w:asciiTheme="majorHAnsi" w:hAnsiTheme="majorHAnsi"/>
              </w:rPr>
            </w:pPr>
            <w:r w:rsidRPr="00215C63">
              <w:rPr>
                <w:rFonts w:asciiTheme="majorHAnsi" w:hAnsiTheme="majorHAnsi"/>
              </w:rPr>
              <w:t>October 2015 – February 2016</w:t>
            </w:r>
          </w:p>
        </w:tc>
        <w:tc>
          <w:tcPr>
            <w:tcW w:w="6236" w:type="dxa"/>
          </w:tcPr>
          <w:p w14:paraId="556E7ABA" w14:textId="77777777" w:rsidR="005571C1" w:rsidRPr="00215C63" w:rsidRDefault="006879A9" w:rsidP="001C61D5">
            <w:pPr>
              <w:spacing w:line="276" w:lineRule="auto"/>
              <w:rPr>
                <w:rFonts w:asciiTheme="majorHAnsi" w:hAnsiTheme="majorHAnsi"/>
              </w:rPr>
            </w:pPr>
            <w:r w:rsidRPr="00215C63">
              <w:rPr>
                <w:rFonts w:asciiTheme="majorHAnsi" w:hAnsiTheme="majorHAnsi"/>
              </w:rPr>
              <w:t>Data analysis</w:t>
            </w:r>
          </w:p>
        </w:tc>
      </w:tr>
      <w:tr w:rsidR="006879A9" w14:paraId="4CE77BD2" w14:textId="77777777" w:rsidTr="006879A9">
        <w:tc>
          <w:tcPr>
            <w:tcW w:w="3114" w:type="dxa"/>
          </w:tcPr>
          <w:p w14:paraId="2D3EF78D" w14:textId="77777777" w:rsidR="006879A9" w:rsidRPr="00215C63" w:rsidRDefault="006879A9" w:rsidP="001C61D5">
            <w:pPr>
              <w:spacing w:line="276" w:lineRule="auto"/>
              <w:rPr>
                <w:rFonts w:asciiTheme="majorHAnsi" w:hAnsiTheme="majorHAnsi"/>
              </w:rPr>
            </w:pPr>
            <w:r w:rsidRPr="00215C63">
              <w:rPr>
                <w:rFonts w:asciiTheme="majorHAnsi" w:hAnsiTheme="majorHAnsi"/>
              </w:rPr>
              <w:t>February 2016 – March 2016</w:t>
            </w:r>
          </w:p>
        </w:tc>
        <w:tc>
          <w:tcPr>
            <w:tcW w:w="6236" w:type="dxa"/>
          </w:tcPr>
          <w:p w14:paraId="63ABB263" w14:textId="77777777" w:rsidR="006879A9" w:rsidRPr="00215C63" w:rsidRDefault="006879A9" w:rsidP="001C61D5">
            <w:pPr>
              <w:spacing w:line="276" w:lineRule="auto"/>
              <w:rPr>
                <w:rFonts w:asciiTheme="majorHAnsi" w:hAnsiTheme="majorHAnsi"/>
              </w:rPr>
            </w:pPr>
            <w:r w:rsidRPr="00215C63">
              <w:rPr>
                <w:rFonts w:asciiTheme="majorHAnsi" w:hAnsiTheme="majorHAnsi"/>
              </w:rPr>
              <w:t>Write final manuscript</w:t>
            </w:r>
          </w:p>
        </w:tc>
      </w:tr>
      <w:tr w:rsidR="005571C1" w14:paraId="1AFB28AF" w14:textId="77777777" w:rsidTr="006879A9">
        <w:tc>
          <w:tcPr>
            <w:tcW w:w="3114" w:type="dxa"/>
          </w:tcPr>
          <w:p w14:paraId="67860ACB" w14:textId="77777777" w:rsidR="005571C1" w:rsidRPr="00215C63" w:rsidRDefault="006879A9" w:rsidP="001C61D5">
            <w:pPr>
              <w:spacing w:line="276" w:lineRule="auto"/>
              <w:rPr>
                <w:rFonts w:asciiTheme="majorHAnsi" w:hAnsiTheme="majorHAnsi"/>
              </w:rPr>
            </w:pPr>
            <w:r w:rsidRPr="00215C63">
              <w:rPr>
                <w:rFonts w:asciiTheme="majorHAnsi" w:hAnsiTheme="majorHAnsi"/>
              </w:rPr>
              <w:t>April 2016</w:t>
            </w:r>
          </w:p>
        </w:tc>
        <w:tc>
          <w:tcPr>
            <w:tcW w:w="6236" w:type="dxa"/>
          </w:tcPr>
          <w:p w14:paraId="1C58EFFB" w14:textId="77777777" w:rsidR="005571C1" w:rsidRPr="00215C63" w:rsidRDefault="006879A9" w:rsidP="001C61D5">
            <w:pPr>
              <w:spacing w:line="276" w:lineRule="auto"/>
              <w:rPr>
                <w:rFonts w:asciiTheme="majorHAnsi" w:hAnsiTheme="majorHAnsi"/>
              </w:rPr>
            </w:pPr>
            <w:r w:rsidRPr="00215C63">
              <w:rPr>
                <w:rFonts w:asciiTheme="majorHAnsi" w:hAnsiTheme="majorHAnsi"/>
              </w:rPr>
              <w:t>Submit manuscript + presentation</w:t>
            </w:r>
          </w:p>
        </w:tc>
      </w:tr>
    </w:tbl>
    <w:p w14:paraId="78B1598C" w14:textId="77777777" w:rsidR="007838F3" w:rsidRDefault="007838F3" w:rsidP="001C61D5">
      <w:pPr>
        <w:spacing w:line="276" w:lineRule="auto"/>
        <w:sectPr w:rsidR="007838F3">
          <w:footerReference w:type="default" r:id="rId7"/>
          <w:pgSz w:w="12240" w:h="15840"/>
          <w:pgMar w:top="1440" w:right="1440" w:bottom="1440" w:left="1440" w:header="708" w:footer="708" w:gutter="0"/>
          <w:cols w:space="708"/>
          <w:docGrid w:linePitch="360"/>
        </w:sectPr>
      </w:pPr>
    </w:p>
    <w:p w14:paraId="727F62DF" w14:textId="674CD0ED" w:rsidR="005571C1" w:rsidRDefault="007838F3" w:rsidP="001C61D5">
      <w:pPr>
        <w:spacing w:line="276" w:lineRule="auto"/>
      </w:pPr>
      <w:r w:rsidRPr="007838F3">
        <w:rPr>
          <w:i/>
        </w:rPr>
        <w:lastRenderedPageBreak/>
        <w:t>Table 1</w:t>
      </w:r>
      <w:r>
        <w:t xml:space="preserve"> Summary of Existing Literature</w:t>
      </w:r>
    </w:p>
    <w:tbl>
      <w:tblPr>
        <w:tblStyle w:val="TableGrid"/>
        <w:tblW w:w="5000" w:type="pct"/>
        <w:tblLook w:val="04A0" w:firstRow="1" w:lastRow="0" w:firstColumn="1" w:lastColumn="0" w:noHBand="0" w:noVBand="1"/>
      </w:tblPr>
      <w:tblGrid>
        <w:gridCol w:w="3823"/>
        <w:gridCol w:w="1357"/>
        <w:gridCol w:w="2186"/>
        <w:gridCol w:w="2994"/>
        <w:gridCol w:w="2590"/>
      </w:tblGrid>
      <w:tr w:rsidR="007838F3" w14:paraId="65E84E18" w14:textId="77777777" w:rsidTr="009E6DB6">
        <w:tc>
          <w:tcPr>
            <w:tcW w:w="1476" w:type="pct"/>
          </w:tcPr>
          <w:p w14:paraId="786DCEED" w14:textId="77777777" w:rsidR="007838F3" w:rsidRPr="007838F3" w:rsidRDefault="007838F3" w:rsidP="001C61D5">
            <w:pPr>
              <w:spacing w:line="276" w:lineRule="auto"/>
              <w:rPr>
                <w:b/>
              </w:rPr>
            </w:pPr>
            <w:r w:rsidRPr="007838F3">
              <w:rPr>
                <w:b/>
              </w:rPr>
              <w:t>Study</w:t>
            </w:r>
          </w:p>
        </w:tc>
        <w:tc>
          <w:tcPr>
            <w:tcW w:w="524" w:type="pct"/>
          </w:tcPr>
          <w:p w14:paraId="27A8403A" w14:textId="77777777" w:rsidR="007838F3" w:rsidRPr="007838F3" w:rsidRDefault="007838F3" w:rsidP="001C61D5">
            <w:pPr>
              <w:spacing w:line="276" w:lineRule="auto"/>
              <w:rPr>
                <w:b/>
              </w:rPr>
            </w:pPr>
            <w:r w:rsidRPr="007838F3">
              <w:rPr>
                <w:b/>
              </w:rPr>
              <w:t>Author</w:t>
            </w:r>
          </w:p>
        </w:tc>
        <w:tc>
          <w:tcPr>
            <w:tcW w:w="844" w:type="pct"/>
          </w:tcPr>
          <w:p w14:paraId="7CB4BAB9" w14:textId="77777777" w:rsidR="007838F3" w:rsidRPr="007838F3" w:rsidRDefault="007838F3" w:rsidP="001C61D5">
            <w:pPr>
              <w:spacing w:line="276" w:lineRule="auto"/>
              <w:rPr>
                <w:b/>
              </w:rPr>
            </w:pPr>
            <w:r w:rsidRPr="007838F3">
              <w:rPr>
                <w:b/>
              </w:rPr>
              <w:t>Population</w:t>
            </w:r>
          </w:p>
        </w:tc>
        <w:tc>
          <w:tcPr>
            <w:tcW w:w="1156" w:type="pct"/>
          </w:tcPr>
          <w:p w14:paraId="3C6C3A40" w14:textId="77777777" w:rsidR="007838F3" w:rsidRPr="007838F3" w:rsidRDefault="007838F3" w:rsidP="001C61D5">
            <w:pPr>
              <w:spacing w:line="276" w:lineRule="auto"/>
              <w:rPr>
                <w:b/>
              </w:rPr>
            </w:pPr>
            <w:r w:rsidRPr="007838F3">
              <w:rPr>
                <w:b/>
              </w:rPr>
              <w:t>Main Findings</w:t>
            </w:r>
          </w:p>
        </w:tc>
        <w:tc>
          <w:tcPr>
            <w:tcW w:w="1000" w:type="pct"/>
          </w:tcPr>
          <w:p w14:paraId="1F038A96" w14:textId="77777777" w:rsidR="007838F3" w:rsidRPr="007838F3" w:rsidRDefault="007838F3" w:rsidP="001C61D5">
            <w:pPr>
              <w:spacing w:line="276" w:lineRule="auto"/>
              <w:rPr>
                <w:b/>
              </w:rPr>
            </w:pPr>
            <w:r w:rsidRPr="007838F3">
              <w:rPr>
                <w:b/>
              </w:rPr>
              <w:t>Limitations</w:t>
            </w:r>
          </w:p>
        </w:tc>
      </w:tr>
      <w:tr w:rsidR="007838F3" w14:paraId="074D939B" w14:textId="77777777" w:rsidTr="009E6DB6">
        <w:tc>
          <w:tcPr>
            <w:tcW w:w="1476" w:type="pct"/>
          </w:tcPr>
          <w:p w14:paraId="1C08D200" w14:textId="704F886B" w:rsidR="007838F3" w:rsidRDefault="00583CDA" w:rsidP="001C61D5">
            <w:pPr>
              <w:spacing w:line="276" w:lineRule="auto"/>
            </w:pPr>
            <w:r>
              <w:t>Enhanced excretion of vitamin D binding protein in type 1 diabetes: a role in vitamin D deficiency?</w:t>
            </w:r>
          </w:p>
        </w:tc>
        <w:tc>
          <w:tcPr>
            <w:tcW w:w="524" w:type="pct"/>
          </w:tcPr>
          <w:p w14:paraId="196D1754" w14:textId="3631593F" w:rsidR="007838F3" w:rsidRDefault="00583CDA" w:rsidP="001C61D5">
            <w:pPr>
              <w:spacing w:line="276" w:lineRule="auto"/>
            </w:pPr>
            <w:r>
              <w:t>Thrailkill KM et al. (2011)</w:t>
            </w:r>
          </w:p>
        </w:tc>
        <w:tc>
          <w:tcPr>
            <w:tcW w:w="844" w:type="pct"/>
          </w:tcPr>
          <w:p w14:paraId="0924B661" w14:textId="09362A0F" w:rsidR="007838F3" w:rsidRDefault="00583CDA" w:rsidP="001C61D5">
            <w:pPr>
              <w:spacing w:line="276" w:lineRule="auto"/>
            </w:pPr>
            <w:r>
              <w:t>155 subjects with T1DM and controls, aged 14-40 yrs</w:t>
            </w:r>
          </w:p>
        </w:tc>
        <w:tc>
          <w:tcPr>
            <w:tcW w:w="1156" w:type="pct"/>
          </w:tcPr>
          <w:p w14:paraId="607557F1" w14:textId="1DAF52DE" w:rsidR="007838F3" w:rsidRDefault="00583CDA" w:rsidP="001C61D5">
            <w:pPr>
              <w:spacing w:line="276" w:lineRule="auto"/>
            </w:pPr>
            <w:r>
              <w:t>The loss of VDBP in T1DM could contribute mechanistically to vitamin D deficiencies.</w:t>
            </w:r>
          </w:p>
        </w:tc>
        <w:tc>
          <w:tcPr>
            <w:tcW w:w="1000" w:type="pct"/>
          </w:tcPr>
          <w:p w14:paraId="10BB94F1" w14:textId="77777777" w:rsidR="007838F3" w:rsidRDefault="007838F3" w:rsidP="001C61D5">
            <w:pPr>
              <w:spacing w:line="276" w:lineRule="auto"/>
            </w:pPr>
          </w:p>
        </w:tc>
      </w:tr>
      <w:tr w:rsidR="007838F3" w14:paraId="37DB7863" w14:textId="77777777" w:rsidTr="009E6DB6">
        <w:tc>
          <w:tcPr>
            <w:tcW w:w="1476" w:type="pct"/>
          </w:tcPr>
          <w:p w14:paraId="462461AC" w14:textId="1C8A0D0F" w:rsidR="007838F3" w:rsidRDefault="009E6DB6" w:rsidP="001C61D5">
            <w:pPr>
              <w:spacing w:line="276" w:lineRule="auto"/>
            </w:pPr>
            <w:r>
              <w:t>Dietary resistant starch prevents urinary excretion of vitamin D metabolites and maintains circulating 25-hydroxycholecalciferol concentration in Zucker Diabetic Fatty Rats</w:t>
            </w:r>
          </w:p>
        </w:tc>
        <w:tc>
          <w:tcPr>
            <w:tcW w:w="524" w:type="pct"/>
          </w:tcPr>
          <w:p w14:paraId="7CC3DE72" w14:textId="23D9B26F" w:rsidR="007838F3" w:rsidRDefault="009E6DB6" w:rsidP="001C61D5">
            <w:pPr>
              <w:spacing w:line="276" w:lineRule="auto"/>
            </w:pPr>
            <w:r>
              <w:t>Koh</w:t>
            </w:r>
            <w:r w:rsidR="00583CDA">
              <w:t xml:space="preserve"> GY</w:t>
            </w:r>
            <w:r>
              <w:t xml:space="preserve"> et al. (2014)</w:t>
            </w:r>
          </w:p>
        </w:tc>
        <w:tc>
          <w:tcPr>
            <w:tcW w:w="844" w:type="pct"/>
          </w:tcPr>
          <w:p w14:paraId="0139A8E3" w14:textId="02774CEF" w:rsidR="009E6DB6" w:rsidRDefault="00583CDA" w:rsidP="001C61D5">
            <w:pPr>
              <w:spacing w:line="276" w:lineRule="auto"/>
            </w:pPr>
            <w:r>
              <w:t>24 rats split into three groups (lean control, AIN-93G diet, and AIN-93G diet with resistant starch)</w:t>
            </w:r>
          </w:p>
        </w:tc>
        <w:tc>
          <w:tcPr>
            <w:tcW w:w="1156" w:type="pct"/>
          </w:tcPr>
          <w:p w14:paraId="1C10CE7B" w14:textId="612C43CD" w:rsidR="007838F3" w:rsidRDefault="0080173D" w:rsidP="001C61D5">
            <w:pPr>
              <w:spacing w:line="276" w:lineRule="auto"/>
            </w:pPr>
            <w:r>
              <w:t>Vitamin D balance can be maintained by dietary resistant starch through nephroprotective mechanisms. This is independent of vitamin D supplementation and megalin expression.</w:t>
            </w:r>
          </w:p>
        </w:tc>
        <w:tc>
          <w:tcPr>
            <w:tcW w:w="1000" w:type="pct"/>
          </w:tcPr>
          <w:p w14:paraId="4BCDF922" w14:textId="77777777" w:rsidR="007838F3" w:rsidRDefault="007838F3" w:rsidP="001C61D5">
            <w:pPr>
              <w:spacing w:line="276" w:lineRule="auto"/>
            </w:pPr>
          </w:p>
        </w:tc>
      </w:tr>
      <w:tr w:rsidR="007838F3" w14:paraId="796D0B06" w14:textId="77777777" w:rsidTr="009E6DB6">
        <w:tc>
          <w:tcPr>
            <w:tcW w:w="1476" w:type="pct"/>
          </w:tcPr>
          <w:p w14:paraId="79A646D4" w14:textId="0EE135DA" w:rsidR="007838F3" w:rsidRDefault="007838F3" w:rsidP="001C61D5">
            <w:pPr>
              <w:spacing w:line="276" w:lineRule="auto"/>
            </w:pPr>
          </w:p>
        </w:tc>
        <w:tc>
          <w:tcPr>
            <w:tcW w:w="524" w:type="pct"/>
          </w:tcPr>
          <w:p w14:paraId="7AF81D30" w14:textId="77777777" w:rsidR="007838F3" w:rsidRDefault="007838F3" w:rsidP="001C61D5">
            <w:pPr>
              <w:spacing w:line="276" w:lineRule="auto"/>
            </w:pPr>
          </w:p>
        </w:tc>
        <w:tc>
          <w:tcPr>
            <w:tcW w:w="844" w:type="pct"/>
          </w:tcPr>
          <w:p w14:paraId="1B84A31D" w14:textId="77777777" w:rsidR="007838F3" w:rsidRDefault="007838F3" w:rsidP="001C61D5">
            <w:pPr>
              <w:spacing w:line="276" w:lineRule="auto"/>
            </w:pPr>
          </w:p>
        </w:tc>
        <w:tc>
          <w:tcPr>
            <w:tcW w:w="1156" w:type="pct"/>
          </w:tcPr>
          <w:p w14:paraId="4A725FEF" w14:textId="77777777" w:rsidR="007838F3" w:rsidRDefault="007838F3" w:rsidP="001C61D5">
            <w:pPr>
              <w:spacing w:line="276" w:lineRule="auto"/>
            </w:pPr>
          </w:p>
        </w:tc>
        <w:tc>
          <w:tcPr>
            <w:tcW w:w="1000" w:type="pct"/>
          </w:tcPr>
          <w:p w14:paraId="20D729D8" w14:textId="77777777" w:rsidR="007838F3" w:rsidRDefault="007838F3" w:rsidP="001C61D5">
            <w:pPr>
              <w:spacing w:line="276" w:lineRule="auto"/>
            </w:pPr>
          </w:p>
        </w:tc>
      </w:tr>
    </w:tbl>
    <w:p w14:paraId="6D4FD4B5" w14:textId="77777777" w:rsidR="006F4927" w:rsidRDefault="006F4927" w:rsidP="001C61D5">
      <w:pPr>
        <w:spacing w:line="276" w:lineRule="auto"/>
        <w:sectPr w:rsidR="006F4927" w:rsidSect="007838F3">
          <w:pgSz w:w="15840" w:h="12240" w:orient="landscape"/>
          <w:pgMar w:top="1440" w:right="1440" w:bottom="1440" w:left="1440" w:header="708" w:footer="708" w:gutter="0"/>
          <w:cols w:space="708"/>
          <w:docGrid w:linePitch="360"/>
        </w:sectPr>
      </w:pPr>
    </w:p>
    <w:p w14:paraId="51BBDC07" w14:textId="2CDFCA27" w:rsidR="00D44729" w:rsidRPr="00D44729" w:rsidRDefault="00D44729" w:rsidP="001C61D5">
      <w:pPr>
        <w:pStyle w:val="Bibliography"/>
        <w:spacing w:line="276" w:lineRule="auto"/>
        <w:jc w:val="center"/>
        <w:rPr>
          <w:b/>
        </w:rPr>
      </w:pPr>
      <w:r w:rsidRPr="00D44729">
        <w:rPr>
          <w:b/>
        </w:rPr>
        <w:t>References</w:t>
      </w:r>
    </w:p>
    <w:p w14:paraId="607C3565" w14:textId="77777777" w:rsidR="0084508B" w:rsidRPr="0084508B" w:rsidRDefault="006F4927" w:rsidP="001C61D5">
      <w:pPr>
        <w:pStyle w:val="Bibliography"/>
        <w:spacing w:line="276" w:lineRule="auto"/>
        <w:rPr>
          <w:rFonts w:ascii="Calibri" w:hAnsi="Calibri"/>
        </w:rPr>
      </w:pPr>
      <w:r>
        <w:fldChar w:fldCharType="begin"/>
      </w:r>
      <w:r w:rsidR="00F154C5">
        <w:instrText xml:space="preserve"> ADDIN ZOTERO_BIBL {"custom":[]} </w:instrText>
      </w:r>
      <w:r>
        <w:fldChar w:fldCharType="separate"/>
      </w:r>
      <w:r w:rsidR="0084508B" w:rsidRPr="0084508B">
        <w:rPr>
          <w:rFonts w:ascii="Calibri" w:hAnsi="Calibri"/>
        </w:rPr>
        <w:t xml:space="preserve">1. </w:t>
      </w:r>
      <w:r w:rsidR="0084508B" w:rsidRPr="0084508B">
        <w:rPr>
          <w:rFonts w:ascii="Calibri" w:hAnsi="Calibri"/>
        </w:rPr>
        <w:tab/>
        <w:t xml:space="preserve">Diaz VA, Mainous AG, Carek PJ, Wessell AM, Everett CJ. The association of vitamin D deficiency and insufficiency with diabetic nephropathy: implications for health disparities. J Am Board Fam Med JABFM. 2009 Oct;22(5):521–7. </w:t>
      </w:r>
    </w:p>
    <w:p w14:paraId="181954E9"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2. </w:t>
      </w:r>
      <w:r w:rsidRPr="0084508B">
        <w:rPr>
          <w:rFonts w:ascii="Calibri" w:hAnsi="Calibri"/>
        </w:rPr>
        <w:tab/>
        <w:t xml:space="preserve">Li YC. Vitamin D and diabetic nephropathy. Curr Diab Rep. 2008 Dec;8(6):464–9. </w:t>
      </w:r>
    </w:p>
    <w:p w14:paraId="1EDB33BB"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3. </w:t>
      </w:r>
      <w:r w:rsidRPr="0084508B">
        <w:rPr>
          <w:rFonts w:ascii="Calibri" w:hAnsi="Calibri"/>
        </w:rPr>
        <w:tab/>
        <w:t>CKD EVALUATION &amp; MANAGEMENT | KDIGO [Internet]. [cited 2015 Oct 5]. Available from: http://kdigo.org/home/guidelines/ckd-evaluation-management/</w:t>
      </w:r>
    </w:p>
    <w:p w14:paraId="5A5C528A"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4. </w:t>
      </w:r>
      <w:r w:rsidRPr="0084508B">
        <w:rPr>
          <w:rFonts w:ascii="Calibri" w:hAnsi="Calibri"/>
        </w:rPr>
        <w:tab/>
        <w:t xml:space="preserve">Adler AI, Stevens RJ, Manley SE, Bilous RW, Cull CA, Holman RR, et al. Development and progression of nephropathy in type 2 diabetes: the United Kingdom Prospective Diabetes Study (UKPDS 64). Kidney Int. 2003 Jan;63(1):225–32. </w:t>
      </w:r>
    </w:p>
    <w:p w14:paraId="22D76E86"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5. </w:t>
      </w:r>
      <w:r w:rsidRPr="0084508B">
        <w:rPr>
          <w:rFonts w:ascii="Calibri" w:hAnsi="Calibri"/>
        </w:rPr>
        <w:tab/>
        <w:t xml:space="preserve">Plantinga LC, Crews DC, Coresh J, Miller ER, Saran R, Yee J, et al. Prevalence of chronic kidney disease in US adults with undiagnosed diabetes or prediabetes. Clin J Am Soc Nephrol CJASN. 2010 Apr;5(4):673–82. </w:t>
      </w:r>
    </w:p>
    <w:p w14:paraId="3DB7BDDB"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6. </w:t>
      </w:r>
      <w:r w:rsidRPr="0084508B">
        <w:rPr>
          <w:rFonts w:ascii="Calibri" w:hAnsi="Calibri"/>
        </w:rPr>
        <w:tab/>
        <w:t xml:space="preserve">Thrailkill KM, Jo C-H, Cockrell GE, Moreau CS, Fowlkes JL. Enhanced excretion of vitamin D binding protein in type 1 diabetes: a role in vitamin D deficiency? J Clin Endocrinol Metab. 2011 Jan;96(1):142–9. </w:t>
      </w:r>
    </w:p>
    <w:p w14:paraId="4CFB56B8"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7. </w:t>
      </w:r>
      <w:r w:rsidRPr="0084508B">
        <w:rPr>
          <w:rFonts w:ascii="Calibri" w:hAnsi="Calibri"/>
        </w:rPr>
        <w:tab/>
        <w:t xml:space="preserve">TIAN X-Q, ZHAO L-M, GE J-P, ZHANG Y, XU Y-C. Elevated urinary level of vitamin D-binding protein as a novel biomarker for diabetic nephropathy. Exp Ther Med. 2014 Feb;7(2):411–6. </w:t>
      </w:r>
    </w:p>
    <w:p w14:paraId="613ABAB7"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8. </w:t>
      </w:r>
      <w:r w:rsidRPr="0084508B">
        <w:rPr>
          <w:rFonts w:ascii="Calibri" w:hAnsi="Calibri"/>
        </w:rPr>
        <w:tab/>
        <w:t xml:space="preserve">White P, Cooke N. The multifunctional properties and characteristics of vitamin D-binding protein. Trends Endocrinol Metab TEM. 2000 Oct;11(8):320–7. </w:t>
      </w:r>
    </w:p>
    <w:p w14:paraId="2519F193" w14:textId="77777777" w:rsidR="0084508B" w:rsidRPr="0084508B" w:rsidRDefault="0084508B" w:rsidP="001C61D5">
      <w:pPr>
        <w:pStyle w:val="Bibliography"/>
        <w:spacing w:line="276" w:lineRule="auto"/>
        <w:rPr>
          <w:rFonts w:ascii="Calibri" w:hAnsi="Calibri"/>
        </w:rPr>
      </w:pPr>
      <w:r w:rsidRPr="0084508B">
        <w:rPr>
          <w:rFonts w:ascii="Calibri" w:hAnsi="Calibri"/>
        </w:rPr>
        <w:t xml:space="preserve">9. </w:t>
      </w:r>
      <w:r w:rsidRPr="0084508B">
        <w:rPr>
          <w:rFonts w:ascii="Calibri" w:hAnsi="Calibri"/>
        </w:rPr>
        <w:tab/>
        <w:t xml:space="preserve">Deb DK, Sun T, Wong KE, Zhang Z, Ning G, Zhang Y, et al. Combined vitamin D analog and AT1 receptor antagonist synergistically block the development of kidney disease in a model of type 2 diabetes. Kidney Int. 2010 Jun;77(11):1000–9. </w:t>
      </w:r>
    </w:p>
    <w:p w14:paraId="7C81EDEC" w14:textId="6F5547E0" w:rsidR="007838F3" w:rsidRPr="005571C1" w:rsidRDefault="006F4927" w:rsidP="001C61D5">
      <w:pPr>
        <w:spacing w:line="276" w:lineRule="auto"/>
      </w:pPr>
      <w:r>
        <w:fldChar w:fldCharType="end"/>
      </w:r>
    </w:p>
    <w:sectPr w:rsidR="007838F3" w:rsidRPr="005571C1" w:rsidSect="006F49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C8AB8" w14:textId="77777777" w:rsidR="00016BD7" w:rsidRDefault="00016BD7" w:rsidP="00016BD7">
      <w:pPr>
        <w:spacing w:after="0" w:line="240" w:lineRule="auto"/>
      </w:pPr>
      <w:r>
        <w:separator/>
      </w:r>
    </w:p>
  </w:endnote>
  <w:endnote w:type="continuationSeparator" w:id="0">
    <w:p w14:paraId="509BA89B" w14:textId="77777777" w:rsidR="00016BD7" w:rsidRDefault="00016BD7" w:rsidP="0001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87436"/>
      <w:docPartObj>
        <w:docPartGallery w:val="Page Numbers (Bottom of Page)"/>
        <w:docPartUnique/>
      </w:docPartObj>
    </w:sdtPr>
    <w:sdtEndPr>
      <w:rPr>
        <w:noProof/>
      </w:rPr>
    </w:sdtEndPr>
    <w:sdtContent>
      <w:p w14:paraId="22EBDE9A" w14:textId="77E2CCB6" w:rsidR="00016BD7" w:rsidRDefault="00016BD7">
        <w:pPr>
          <w:pStyle w:val="Footer"/>
          <w:jc w:val="center"/>
        </w:pPr>
        <w:r>
          <w:fldChar w:fldCharType="begin"/>
        </w:r>
        <w:r>
          <w:instrText xml:space="preserve"> PAGE   \* MERGEFORMAT </w:instrText>
        </w:r>
        <w:r>
          <w:fldChar w:fldCharType="separate"/>
        </w:r>
        <w:r w:rsidR="00EF5A1D">
          <w:rPr>
            <w:noProof/>
          </w:rPr>
          <w:t>3</w:t>
        </w:r>
        <w:r>
          <w:rPr>
            <w:noProof/>
          </w:rPr>
          <w:fldChar w:fldCharType="end"/>
        </w:r>
      </w:p>
    </w:sdtContent>
  </w:sdt>
  <w:p w14:paraId="2309065A" w14:textId="77777777" w:rsidR="00016BD7" w:rsidRDefault="00016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C7107" w14:textId="77777777" w:rsidR="00016BD7" w:rsidRDefault="00016BD7" w:rsidP="00016BD7">
      <w:pPr>
        <w:spacing w:after="0" w:line="240" w:lineRule="auto"/>
      </w:pPr>
      <w:r>
        <w:separator/>
      </w:r>
    </w:p>
  </w:footnote>
  <w:footnote w:type="continuationSeparator" w:id="0">
    <w:p w14:paraId="51B0DADB" w14:textId="77777777" w:rsidR="00016BD7" w:rsidRDefault="00016BD7" w:rsidP="00016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07B15"/>
    <w:multiLevelType w:val="hybridMultilevel"/>
    <w:tmpl w:val="3FE231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871920"/>
    <w:multiLevelType w:val="hybridMultilevel"/>
    <w:tmpl w:val="1918F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AC5F05"/>
    <w:multiLevelType w:val="hybridMultilevel"/>
    <w:tmpl w:val="09AEB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E81574"/>
    <w:multiLevelType w:val="hybridMultilevel"/>
    <w:tmpl w:val="80F84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377234"/>
    <w:multiLevelType w:val="hybridMultilevel"/>
    <w:tmpl w:val="28580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E03CE3"/>
    <w:multiLevelType w:val="hybridMultilevel"/>
    <w:tmpl w:val="3C54E4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297E24"/>
    <w:multiLevelType w:val="hybridMultilevel"/>
    <w:tmpl w:val="075A8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396830"/>
    <w:multiLevelType w:val="hybridMultilevel"/>
    <w:tmpl w:val="7DBE5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94D626F"/>
    <w:multiLevelType w:val="hybridMultilevel"/>
    <w:tmpl w:val="7C66E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445A8F"/>
    <w:multiLevelType w:val="hybridMultilevel"/>
    <w:tmpl w:val="C9C044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5"/>
  </w:num>
  <w:num w:numId="5">
    <w:abstractNumId w:val="0"/>
  </w:num>
  <w:num w:numId="6">
    <w:abstractNumId w:val="1"/>
  </w:num>
  <w:num w:numId="7">
    <w:abstractNumId w:val="2"/>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C1"/>
    <w:rsid w:val="00016BD7"/>
    <w:rsid w:val="00026DBD"/>
    <w:rsid w:val="000713CF"/>
    <w:rsid w:val="000E1BB4"/>
    <w:rsid w:val="000F7E53"/>
    <w:rsid w:val="001041CD"/>
    <w:rsid w:val="00110A43"/>
    <w:rsid w:val="00111F86"/>
    <w:rsid w:val="00157955"/>
    <w:rsid w:val="00162BB8"/>
    <w:rsid w:val="00164C3F"/>
    <w:rsid w:val="00195731"/>
    <w:rsid w:val="001C61D5"/>
    <w:rsid w:val="001D2F79"/>
    <w:rsid w:val="001F6517"/>
    <w:rsid w:val="00215C63"/>
    <w:rsid w:val="00235C98"/>
    <w:rsid w:val="002A3850"/>
    <w:rsid w:val="002D5478"/>
    <w:rsid w:val="00320596"/>
    <w:rsid w:val="0032322B"/>
    <w:rsid w:val="003631E3"/>
    <w:rsid w:val="003A30A1"/>
    <w:rsid w:val="003D6ADC"/>
    <w:rsid w:val="003F55D1"/>
    <w:rsid w:val="00432765"/>
    <w:rsid w:val="004519D5"/>
    <w:rsid w:val="004B1898"/>
    <w:rsid w:val="00505E54"/>
    <w:rsid w:val="005248EB"/>
    <w:rsid w:val="005571C1"/>
    <w:rsid w:val="0056048C"/>
    <w:rsid w:val="005712CB"/>
    <w:rsid w:val="00583CDA"/>
    <w:rsid w:val="005A174D"/>
    <w:rsid w:val="005B0B0E"/>
    <w:rsid w:val="005B65B2"/>
    <w:rsid w:val="005C4EE6"/>
    <w:rsid w:val="0066043E"/>
    <w:rsid w:val="006879A9"/>
    <w:rsid w:val="006F13C5"/>
    <w:rsid w:val="006F4927"/>
    <w:rsid w:val="006F559D"/>
    <w:rsid w:val="007363AE"/>
    <w:rsid w:val="00745440"/>
    <w:rsid w:val="007838F3"/>
    <w:rsid w:val="007B3929"/>
    <w:rsid w:val="0080173D"/>
    <w:rsid w:val="008144E6"/>
    <w:rsid w:val="00841498"/>
    <w:rsid w:val="0084508B"/>
    <w:rsid w:val="0088754E"/>
    <w:rsid w:val="008925B9"/>
    <w:rsid w:val="008B1F7F"/>
    <w:rsid w:val="008B6915"/>
    <w:rsid w:val="008E68DC"/>
    <w:rsid w:val="009A088D"/>
    <w:rsid w:val="009E6DB6"/>
    <w:rsid w:val="00A61736"/>
    <w:rsid w:val="00AB3036"/>
    <w:rsid w:val="00AD11B3"/>
    <w:rsid w:val="00AF1D01"/>
    <w:rsid w:val="00BA168F"/>
    <w:rsid w:val="00BA7F81"/>
    <w:rsid w:val="00BE65E2"/>
    <w:rsid w:val="00C00461"/>
    <w:rsid w:val="00D15B58"/>
    <w:rsid w:val="00D44729"/>
    <w:rsid w:val="00D74432"/>
    <w:rsid w:val="00D76DF0"/>
    <w:rsid w:val="00E013C7"/>
    <w:rsid w:val="00E75835"/>
    <w:rsid w:val="00E9755E"/>
    <w:rsid w:val="00EF5A1D"/>
    <w:rsid w:val="00F154C5"/>
    <w:rsid w:val="00F82692"/>
    <w:rsid w:val="00F96959"/>
    <w:rsid w:val="00FC3A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EEC0"/>
  <w15:chartTrackingRefBased/>
  <w15:docId w15:val="{C6A769DE-8C40-4DC2-8A3E-F8A4D37E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58"/>
    <w:rPr>
      <w:rFonts w:ascii="Calibri Light" w:hAnsi="Calibri Light"/>
    </w:rPr>
  </w:style>
  <w:style w:type="paragraph" w:styleId="Heading1">
    <w:name w:val="heading 1"/>
    <w:basedOn w:val="Normal"/>
    <w:next w:val="Normal"/>
    <w:link w:val="Heading1Char"/>
    <w:uiPriority w:val="9"/>
    <w:qFormat/>
    <w:rsid w:val="00D15B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15B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15B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15B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15B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15B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15B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15B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15B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58"/>
    <w:pPr>
      <w:ind w:left="720"/>
      <w:contextualSpacing/>
    </w:pPr>
  </w:style>
  <w:style w:type="table" w:styleId="TableGrid">
    <w:name w:val="Table Grid"/>
    <w:basedOn w:val="TableNormal"/>
    <w:uiPriority w:val="39"/>
    <w:rsid w:val="0055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F4927"/>
    <w:pPr>
      <w:tabs>
        <w:tab w:val="left" w:pos="384"/>
      </w:tabs>
      <w:spacing w:after="240" w:line="240" w:lineRule="auto"/>
      <w:ind w:left="384" w:hanging="384"/>
    </w:pPr>
  </w:style>
  <w:style w:type="paragraph" w:styleId="NoSpacing">
    <w:name w:val="No Spacing"/>
    <w:uiPriority w:val="1"/>
    <w:rsid w:val="00D15B58"/>
    <w:pPr>
      <w:spacing w:after="0" w:line="240" w:lineRule="auto"/>
    </w:pPr>
  </w:style>
  <w:style w:type="paragraph" w:styleId="Header">
    <w:name w:val="header"/>
    <w:basedOn w:val="Normal"/>
    <w:link w:val="HeaderChar"/>
    <w:uiPriority w:val="99"/>
    <w:unhideWhenUsed/>
    <w:rsid w:val="00016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BD7"/>
  </w:style>
  <w:style w:type="paragraph" w:styleId="Footer">
    <w:name w:val="footer"/>
    <w:basedOn w:val="Normal"/>
    <w:link w:val="FooterChar"/>
    <w:uiPriority w:val="99"/>
    <w:unhideWhenUsed/>
    <w:rsid w:val="00016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BD7"/>
  </w:style>
  <w:style w:type="paragraph" w:styleId="Title">
    <w:name w:val="Title"/>
    <w:basedOn w:val="Normal"/>
    <w:next w:val="Normal"/>
    <w:link w:val="TitleChar"/>
    <w:uiPriority w:val="10"/>
    <w:qFormat/>
    <w:rsid w:val="00D15B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15B58"/>
    <w:rPr>
      <w:rFonts w:asciiTheme="majorHAnsi" w:eastAsiaTheme="majorEastAsia" w:hAnsiTheme="majorHAnsi" w:cstheme="majorBidi"/>
      <w:caps/>
      <w:color w:val="404040" w:themeColor="text1" w:themeTint="BF"/>
      <w:spacing w:val="-10"/>
      <w:sz w:val="72"/>
      <w:szCs w:val="72"/>
    </w:rPr>
  </w:style>
  <w:style w:type="character" w:customStyle="1" w:styleId="Heading2Char">
    <w:name w:val="Heading 2 Char"/>
    <w:basedOn w:val="DefaultParagraphFont"/>
    <w:link w:val="Heading2"/>
    <w:uiPriority w:val="9"/>
    <w:rsid w:val="00D15B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15B58"/>
    <w:rPr>
      <w:rFonts w:asciiTheme="majorHAnsi" w:eastAsiaTheme="majorEastAsia" w:hAnsiTheme="majorHAnsi" w:cstheme="majorBidi"/>
      <w:smallCaps/>
      <w:sz w:val="28"/>
      <w:szCs w:val="28"/>
    </w:rPr>
  </w:style>
  <w:style w:type="character" w:customStyle="1" w:styleId="Heading1Char">
    <w:name w:val="Heading 1 Char"/>
    <w:basedOn w:val="DefaultParagraphFont"/>
    <w:link w:val="Heading1"/>
    <w:uiPriority w:val="9"/>
    <w:rsid w:val="00D15B58"/>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D15B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15B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15B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15B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15B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15B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15B5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15B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15B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15B58"/>
    <w:rPr>
      <w:b/>
      <w:bCs/>
    </w:rPr>
  </w:style>
  <w:style w:type="character" w:styleId="Emphasis">
    <w:name w:val="Emphasis"/>
    <w:basedOn w:val="DefaultParagraphFont"/>
    <w:uiPriority w:val="20"/>
    <w:qFormat/>
    <w:rsid w:val="00D15B58"/>
    <w:rPr>
      <w:i/>
      <w:iCs/>
    </w:rPr>
  </w:style>
  <w:style w:type="paragraph" w:styleId="Quote">
    <w:name w:val="Quote"/>
    <w:basedOn w:val="Normal"/>
    <w:next w:val="Normal"/>
    <w:link w:val="QuoteChar"/>
    <w:uiPriority w:val="29"/>
    <w:qFormat/>
    <w:rsid w:val="00D15B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15B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15B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15B58"/>
    <w:rPr>
      <w:color w:val="404040" w:themeColor="text1" w:themeTint="BF"/>
      <w:sz w:val="32"/>
      <w:szCs w:val="32"/>
    </w:rPr>
  </w:style>
  <w:style w:type="character" w:styleId="SubtleEmphasis">
    <w:name w:val="Subtle Emphasis"/>
    <w:basedOn w:val="DefaultParagraphFont"/>
    <w:uiPriority w:val="19"/>
    <w:qFormat/>
    <w:rsid w:val="00D15B58"/>
    <w:rPr>
      <w:i/>
      <w:iCs/>
      <w:color w:val="595959" w:themeColor="text1" w:themeTint="A6"/>
    </w:rPr>
  </w:style>
  <w:style w:type="character" w:styleId="IntenseEmphasis">
    <w:name w:val="Intense Emphasis"/>
    <w:basedOn w:val="DefaultParagraphFont"/>
    <w:uiPriority w:val="21"/>
    <w:qFormat/>
    <w:rsid w:val="00D15B58"/>
    <w:rPr>
      <w:b/>
      <w:bCs/>
      <w:i/>
      <w:iCs/>
    </w:rPr>
  </w:style>
  <w:style w:type="character" w:styleId="SubtleReference">
    <w:name w:val="Subtle Reference"/>
    <w:basedOn w:val="DefaultParagraphFont"/>
    <w:uiPriority w:val="31"/>
    <w:qFormat/>
    <w:rsid w:val="00D15B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5B58"/>
    <w:rPr>
      <w:b/>
      <w:bCs/>
      <w:caps w:val="0"/>
      <w:smallCaps/>
      <w:color w:val="auto"/>
      <w:spacing w:val="3"/>
      <w:u w:val="single"/>
    </w:rPr>
  </w:style>
  <w:style w:type="character" w:styleId="BookTitle">
    <w:name w:val="Book Title"/>
    <w:basedOn w:val="DefaultParagraphFont"/>
    <w:uiPriority w:val="33"/>
    <w:qFormat/>
    <w:rsid w:val="00D15B58"/>
    <w:rPr>
      <w:b/>
      <w:bCs/>
      <w:smallCaps/>
      <w:spacing w:val="7"/>
    </w:rPr>
  </w:style>
  <w:style w:type="paragraph" w:styleId="TOCHeading">
    <w:name w:val="TOC Heading"/>
    <w:basedOn w:val="Heading1"/>
    <w:next w:val="Normal"/>
    <w:uiPriority w:val="39"/>
    <w:semiHidden/>
    <w:unhideWhenUsed/>
    <w:qFormat/>
    <w:rsid w:val="00D15B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Windy Wang</dc:creator>
  <cp:keywords/>
  <dc:description/>
  <cp:lastModifiedBy>Windy Wang</cp:lastModifiedBy>
  <cp:revision>2</cp:revision>
  <dcterms:created xsi:type="dcterms:W3CDTF">2015-10-05T04:16:00Z</dcterms:created>
  <dcterms:modified xsi:type="dcterms:W3CDTF">2015-10-05T04:16:00Z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id="oyIYL8fM"/&gt;&lt;style id="http://www.zotero.org/styles/vancouver" locale="en-US" hasBibliography="1" bibliographyStyleHasBeenSet="1"/&gt;&lt;prefs&gt;&lt;pref name="fieldType" value="Field"/&gt;&lt;pref name="storeR</vt:lpwstr>
  </property>
  <property fmtid="{D5CDD505-2E9C-101B-9397-08002B2CF9AE}" pid="3" name="ZOTERO_PREF_2">
    <vt:lpwstr>eferences" value=""/&gt;&lt;pref name="automaticJournalAbbreviations" value="true"/&gt;&lt;pref name="noteType" value=""/&gt;&lt;/prefs&gt;&lt;/data&gt;</vt:lpwstr>
  </property>
</Properties>
</file>