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24"/>
        </w:rPr>
        <w:t>UNIVERSIDADE PRESBITERIANA MACKENZIE</w:t>
      </w:r>
    </w:p>
    <w:p>
      <w:pPr>
        <w:jc w:val="center"/>
      </w:pPr>
      <w:r>
        <w:rPr>
          <w:rFonts w:ascii="Times New Roman" w:hAnsi="Times New Roman"/>
          <w:sz w:val="24"/>
        </w:rPr>
        <w:t>Pós-Graduação em Engenharia de Dados</w:t>
      </w:r>
    </w:p>
    <w:p/>
    <w:p/>
    <w:p/>
    <w:p/>
    <w:p/>
    <w:p>
      <w:pPr>
        <w:jc w:val="center"/>
      </w:pPr>
      <w:r>
        <w:rPr>
          <w:rFonts w:ascii="Times New Roman" w:hAnsi="Times New Roman"/>
          <w:b/>
          <w:sz w:val="32"/>
        </w:rPr>
        <w:t>INFORMALIDADEBR</w:t>
      </w:r>
    </w:p>
    <w:p>
      <w:pPr>
        <w:jc w:val="center"/>
      </w:pPr>
      <w:r>
        <w:rPr>
          <w:rFonts w:ascii="Times New Roman" w:hAnsi="Times New Roman"/>
          <w:sz w:val="26"/>
        </w:rPr>
        <w:t>Predição de trabalho informal a partir da PNAD Contínua:</w:t>
      </w:r>
    </w:p>
    <w:p>
      <w:pPr>
        <w:jc w:val="center"/>
      </w:pPr>
      <w:r>
        <w:rPr>
          <w:rFonts w:ascii="Times New Roman" w:hAnsi="Times New Roman"/>
          <w:sz w:val="26"/>
        </w:rPr>
        <w:t>roteiro de apresentação</w:t>
      </w:r>
    </w:p>
    <w:p/>
    <w:p/>
    <w:p/>
    <w:p/>
    <w:p/>
    <w:p>
      <w:pPr>
        <w:jc w:val="center"/>
      </w:pPr>
      <w:r>
        <w:rPr>
          <w:rFonts w:ascii="Times New Roman" w:hAnsi="Times New Roman"/>
          <w:b/>
          <w:sz w:val="24"/>
        </w:rPr>
        <w:t>Integrantes:</w:t>
      </w:r>
    </w:p>
    <w:p>
      <w:pPr>
        <w:jc w:val="center"/>
      </w:pPr>
      <w:r>
        <w:rPr>
          <w:rFonts w:ascii="Times New Roman" w:hAnsi="Times New Roman"/>
          <w:sz w:val="24"/>
        </w:rPr>
        <w:t>Jefferson Aparecido Nunes Lopes</w:t>
      </w:r>
    </w:p>
    <w:p>
      <w:pPr>
        <w:jc w:val="center"/>
      </w:pPr>
      <w:r>
        <w:rPr>
          <w:rFonts w:ascii="Times New Roman" w:hAnsi="Times New Roman"/>
          <w:sz w:val="24"/>
        </w:rPr>
        <w:t>Guilherme Ramon Santos Camargo</w:t>
      </w:r>
    </w:p>
    <w:p>
      <w:pPr>
        <w:jc w:val="center"/>
      </w:pPr>
      <w:r>
        <w:rPr>
          <w:rFonts w:ascii="Times New Roman" w:hAnsi="Times New Roman"/>
          <w:sz w:val="24"/>
        </w:rPr>
        <w:t>Bruno Roberto Muniz Cabral</w:t>
      </w:r>
    </w:p>
    <w:p/>
    <w:p/>
    <w:p/>
    <w:p/>
    <w:p/>
    <w:p/>
    <w:p>
      <w:pPr>
        <w:jc w:val="center"/>
      </w:pPr>
      <w:r>
        <w:rPr>
          <w:rFonts w:ascii="Times New Roman" w:hAnsi="Times New Roman"/>
          <w:sz w:val="24"/>
        </w:rPr>
        <w:t>São Paulo</w:t>
      </w:r>
    </w:p>
    <w:p>
      <w:pPr>
        <w:jc w:val="center"/>
      </w:pPr>
      <w:r>
        <w:rPr>
          <w:rFonts w:ascii="Times New Roman" w:hAnsi="Times New Roman"/>
          <w:sz w:val="24"/>
        </w:rPr>
        <w:t>2026</w:t>
      </w:r>
    </w:p>
    <w:p>
      <w:pPr>
        <w:sectPr>
          <w:pgSz w:w="11906" w:h="16838"/>
          <w:pgMar w:top="1701" w:right="1134" w:bottom="1134" w:left="1701" w:header="720" w:footer="720" w:gutter="0"/>
          <w:cols w:space="720"/>
          <w:docGrid w:linePitch="360"/>
        </w:sectPr>
      </w:pPr>
    </w:p>
    <w:p>
      <w:pPr>
        <w:spacing w:after="240" w:line="240" w:lineRule="auto"/>
      </w:pPr>
      <w:r>
        <w:rPr>
          <w:rFonts w:ascii="Times New Roman" w:hAnsi="Times New Roman"/>
          <w:b/>
          <w:sz w:val="26"/>
        </w:rPr>
        <w:t>SUMÁRIO</w:t>
      </w:r>
    </w:p>
    <w:p>
      <w:pPr>
        <w:spacing w:line="360" w:lineRule="auto"/>
      </w:pPr>
      <w:r>
        <w:rPr>
          <w:rFonts w:ascii="Times New Roman" w:hAnsi="Times New Roman"/>
          <w:sz w:val="24"/>
        </w:rPr>
        <w:fldChar w:fldCharType="begin"/>
        <w:instrText xml:space="preserve">TOC \o "1-2" \h \z \u</w:instrText>
        <w:fldChar w:fldCharType="separate"/>
        <w:t>Sumário gerado automaticamente ao abrir/salvar este documento no Word (Referências &gt; Atualizar Sumário).</w:t>
        <w:fldChar w:fldCharType="end"/>
      </w:r>
    </w:p>
    <w:p>
      <w:r>
        <w:br w:type="page"/>
      </w:r>
    </w:p>
    <w:p>
      <w:pPr>
        <w:pStyle w:val="Heading1"/>
        <w:keepNext/>
        <w:spacing w:before="480" w:after="240" w:line="240" w:lineRule="auto"/>
      </w:pPr>
      <w:r>
        <w:rPr>
          <w:rFonts w:ascii="Times New Roman" w:hAnsi="Times New Roman"/>
          <w:b/>
          <w:color w:val="000000"/>
          <w:sz w:val="26"/>
        </w:rPr>
        <w:t>1 INTRODUÇÃO</w:t>
      </w:r>
    </w:p>
    <w:p>
      <w:pPr>
        <w:spacing w:line="360" w:lineRule="auto" w:before="0" w:after="160"/>
        <w:ind w:firstLine="709"/>
        <w:jc w:val="both"/>
      </w:pPr>
      <w:r>
        <w:rPr>
          <w:rFonts w:ascii="Times New Roman" w:hAnsi="Times New Roman"/>
          <w:b w:val="0"/>
          <w:i w:val="0"/>
          <w:sz w:val="24"/>
        </w:rPr>
        <w:t>Este documento é o roteiro de apoio à apresentação oral do projeto InformalidadeBR, desenvolvido para a disciplina de Engenharia de Dados da Pós-Graduação da Universidade Presbiteriana Mackenzie. O objetivo não é um script decorado palavra por palavra, e sim um guia de conteúdo e de tempo: o que dizer em cada slide, quanto tempo isso deve ocupar, e como conectar uma etapa à próxima sem que a apresentação vire uma lista de tarefas técnicas.</w:t>
      </w:r>
    </w:p>
    <w:p>
      <w:pPr>
        <w:spacing w:line="360" w:lineRule="auto" w:before="0" w:after="160"/>
        <w:ind w:firstLine="709"/>
        <w:jc w:val="both"/>
      </w:pPr>
      <w:r>
        <w:rPr>
          <w:rFonts w:ascii="Times New Roman" w:hAnsi="Times New Roman"/>
          <w:b w:val="0"/>
          <w:i w:val="0"/>
          <w:sz w:val="24"/>
        </w:rPr>
        <w:t>O fio condutor é uma história de negócio guiada por dados, não uma sequência de "primeiro fizemos a coleta, depois o pré-processamento, depois a análise exploratória". A estrutura segue, em vez disso, o movimento: tínhamos um problema → buscamos dados → tratamos e entendemos os dados → construímos uma solução → avaliamos os resultados → geramos valor.</w:t>
      </w:r>
    </w:p>
    <w:p>
      <w:pPr>
        <w:pStyle w:val="Heading1"/>
        <w:keepNext/>
        <w:spacing w:before="480" w:after="240" w:line="240" w:lineRule="auto"/>
      </w:pPr>
      <w:r>
        <w:rPr>
          <w:rFonts w:ascii="Times New Roman" w:hAnsi="Times New Roman"/>
          <w:b/>
          <w:color w:val="000000"/>
          <w:sz w:val="26"/>
        </w:rPr>
        <w:t>2 FORMATO DA APRESENTAÇÃO E DIVISÃO DE TEMPO</w:t>
      </w:r>
    </w:p>
    <w:p>
      <w:pPr>
        <w:spacing w:line="360" w:lineRule="auto" w:before="0" w:after="160"/>
        <w:ind w:firstLine="709"/>
        <w:jc w:val="both"/>
      </w:pPr>
      <w:r>
        <w:rPr>
          <w:rFonts w:ascii="Times New Roman" w:hAnsi="Times New Roman"/>
          <w:b w:val="0"/>
          <w:i w:val="0"/>
          <w:sz w:val="24"/>
        </w:rPr>
        <w:t>A apresentação ocorre na Sala Mack Graphe, com 10 minutos de exposição por grupo, seguidos de 10 minutos de perguntas e respostas. O deck (InformalidadeBR - Apresentacao.pptx) tem 12 slides, organizados em quatro blocos de tempo:</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sz w:val="22"/>
              </w:rPr>
              <w:t>Bloco</w:t>
            </w:r>
          </w:p>
        </w:tc>
        <w:tc>
          <w:tcPr>
            <w:tcW w:type="dxa" w:w="3024"/>
          </w:tcPr>
          <w:p>
            <w:pPr>
              <w:spacing w:line="240" w:lineRule="auto"/>
            </w:pPr>
            <w:r>
              <w:rPr>
                <w:rFonts w:ascii="Times New Roman" w:hAnsi="Times New Roman"/>
                <w:sz w:val="22"/>
              </w:rPr>
              <w:t>Slides</w:t>
            </w:r>
          </w:p>
        </w:tc>
        <w:tc>
          <w:tcPr>
            <w:tcW w:type="dxa" w:w="3024"/>
          </w:tcPr>
          <w:p>
            <w:pPr>
              <w:spacing w:line="240" w:lineRule="auto"/>
            </w:pPr>
            <w:r>
              <w:rPr>
                <w:rFonts w:ascii="Times New Roman" w:hAnsi="Times New Roman"/>
                <w:sz w:val="22"/>
              </w:rPr>
              <w:t>Tempo</w:t>
            </w:r>
          </w:p>
        </w:tc>
      </w:tr>
      <w:tr>
        <w:tc>
          <w:tcPr>
            <w:tcW w:type="dxa" w:w="3024"/>
          </w:tcPr>
          <w:p>
            <w:pPr>
              <w:spacing w:line="240" w:lineRule="auto"/>
            </w:pPr>
            <w:r>
              <w:rPr>
                <w:rFonts w:ascii="Times New Roman" w:hAnsi="Times New Roman"/>
                <w:sz w:val="22"/>
              </w:rPr>
              <w:t>1. Introdução e problema</w:t>
            </w:r>
          </w:p>
        </w:tc>
        <w:tc>
          <w:tcPr>
            <w:tcW w:type="dxa" w:w="3024"/>
          </w:tcPr>
          <w:p>
            <w:pPr>
              <w:spacing w:line="240" w:lineRule="auto"/>
            </w:pPr>
            <w:r>
              <w:rPr>
                <w:rFonts w:ascii="Times New Roman" w:hAnsi="Times New Roman"/>
                <w:sz w:val="22"/>
              </w:rPr>
              <w:t>1 – 3</w:t>
            </w:r>
          </w:p>
        </w:tc>
        <w:tc>
          <w:tcPr>
            <w:tcW w:type="dxa" w:w="3024"/>
          </w:tcPr>
          <w:p>
            <w:pPr>
              <w:spacing w:line="240" w:lineRule="auto"/>
            </w:pPr>
            <w:r>
              <w:rPr>
                <w:rFonts w:ascii="Times New Roman" w:hAnsi="Times New Roman"/>
                <w:sz w:val="22"/>
              </w:rPr>
              <w:t>2 min</w:t>
            </w:r>
          </w:p>
        </w:tc>
      </w:tr>
      <w:tr>
        <w:tc>
          <w:tcPr>
            <w:tcW w:type="dxa" w:w="3024"/>
          </w:tcPr>
          <w:p>
            <w:pPr>
              <w:spacing w:line="240" w:lineRule="auto"/>
            </w:pPr>
            <w:r>
              <w:rPr>
                <w:rFonts w:ascii="Times New Roman" w:hAnsi="Times New Roman"/>
                <w:sz w:val="22"/>
              </w:rPr>
              <w:t>2. Dados e preparação</w:t>
            </w:r>
          </w:p>
        </w:tc>
        <w:tc>
          <w:tcPr>
            <w:tcW w:type="dxa" w:w="3024"/>
          </w:tcPr>
          <w:p>
            <w:pPr>
              <w:spacing w:line="240" w:lineRule="auto"/>
            </w:pPr>
            <w:r>
              <w:rPr>
                <w:rFonts w:ascii="Times New Roman" w:hAnsi="Times New Roman"/>
                <w:sz w:val="22"/>
              </w:rPr>
              <w:t>4 – 6</w:t>
            </w:r>
          </w:p>
        </w:tc>
        <w:tc>
          <w:tcPr>
            <w:tcW w:type="dxa" w:w="3024"/>
          </w:tcPr>
          <w:p>
            <w:pPr>
              <w:spacing w:line="240" w:lineRule="auto"/>
            </w:pPr>
            <w:r>
              <w:rPr>
                <w:rFonts w:ascii="Times New Roman" w:hAnsi="Times New Roman"/>
                <w:sz w:val="22"/>
              </w:rPr>
              <w:t>3 min</w:t>
            </w:r>
          </w:p>
        </w:tc>
      </w:tr>
      <w:tr>
        <w:tc>
          <w:tcPr>
            <w:tcW w:type="dxa" w:w="3024"/>
          </w:tcPr>
          <w:p>
            <w:pPr>
              <w:spacing w:line="240" w:lineRule="auto"/>
            </w:pPr>
            <w:r>
              <w:rPr>
                <w:rFonts w:ascii="Times New Roman" w:hAnsi="Times New Roman"/>
                <w:sz w:val="22"/>
              </w:rPr>
              <w:t>3. Modelagem e solução</w:t>
            </w:r>
          </w:p>
        </w:tc>
        <w:tc>
          <w:tcPr>
            <w:tcW w:type="dxa" w:w="3024"/>
          </w:tcPr>
          <w:p>
            <w:pPr>
              <w:spacing w:line="240" w:lineRule="auto"/>
            </w:pPr>
            <w:r>
              <w:rPr>
                <w:rFonts w:ascii="Times New Roman" w:hAnsi="Times New Roman"/>
                <w:sz w:val="22"/>
              </w:rPr>
              <w:t>7 – 9</w:t>
            </w:r>
          </w:p>
        </w:tc>
        <w:tc>
          <w:tcPr>
            <w:tcW w:type="dxa" w:w="3024"/>
          </w:tcPr>
          <w:p>
            <w:pPr>
              <w:spacing w:line="240" w:lineRule="auto"/>
            </w:pPr>
            <w:r>
              <w:rPr>
                <w:rFonts w:ascii="Times New Roman" w:hAnsi="Times New Roman"/>
                <w:sz w:val="22"/>
              </w:rPr>
              <w:t>3 min</w:t>
            </w:r>
          </w:p>
        </w:tc>
      </w:tr>
      <w:tr>
        <w:tc>
          <w:tcPr>
            <w:tcW w:type="dxa" w:w="3024"/>
          </w:tcPr>
          <w:p>
            <w:pPr>
              <w:spacing w:line="240" w:lineRule="auto"/>
            </w:pPr>
            <w:r>
              <w:rPr>
                <w:rFonts w:ascii="Times New Roman" w:hAnsi="Times New Roman"/>
                <w:sz w:val="22"/>
              </w:rPr>
              <w:t>4. Resultados e conclusão</w:t>
            </w:r>
          </w:p>
        </w:tc>
        <w:tc>
          <w:tcPr>
            <w:tcW w:type="dxa" w:w="3024"/>
          </w:tcPr>
          <w:p>
            <w:pPr>
              <w:spacing w:line="240" w:lineRule="auto"/>
            </w:pPr>
            <w:r>
              <w:rPr>
                <w:rFonts w:ascii="Times New Roman" w:hAnsi="Times New Roman"/>
                <w:sz w:val="22"/>
              </w:rPr>
              <w:t>10 – 12</w:t>
            </w:r>
          </w:p>
        </w:tc>
        <w:tc>
          <w:tcPr>
            <w:tcW w:type="dxa" w:w="3024"/>
          </w:tcPr>
          <w:p>
            <w:pPr>
              <w:spacing w:line="240" w:lineRule="auto"/>
            </w:pPr>
            <w:r>
              <w:rPr>
                <w:rFonts w:ascii="Times New Roman" w:hAnsi="Times New Roman"/>
                <w:sz w:val="22"/>
              </w:rPr>
              <w:t>2 min</w:t>
            </w:r>
          </w:p>
        </w:tc>
      </w:tr>
    </w:tbl>
    <w:p/>
    <w:p>
      <w:pPr>
        <w:spacing w:line="360" w:lineRule="auto" w:before="0" w:after="160"/>
        <w:ind w:firstLine="709"/>
        <w:jc w:val="both"/>
      </w:pPr>
      <w:r>
        <w:rPr>
          <w:rFonts w:ascii="Times New Roman" w:hAnsi="Times New Roman"/>
          <w:b w:val="0"/>
          <w:i w:val="0"/>
          <w:sz w:val="24"/>
        </w:rPr>
        <w:t>A divisão entre os três integrantes (quem fala qual bloco) fica a critério do grupo. Este roteiro traz o conteúdo completo da fala, não a atribuição por pessoa.</w:t>
      </w:r>
    </w:p>
    <w:p>
      <w:pPr>
        <w:spacing w:line="240" w:lineRule="auto" w:before="0" w:after="200"/>
        <w:jc w:val="both"/>
      </w:pPr>
      <w:r>
        <w:rPr>
          <w:rFonts w:ascii="Times New Roman" w:hAnsi="Times New Roman"/>
          <w:b w:val="0"/>
          <w:i/>
          <w:color w:val="555555"/>
          <w:sz w:val="22"/>
        </w:rPr>
        <w:t>Dica de ensaio: cada bloco tem uma margem apertada. Ensaiar com cronômetro por bloco, não só a apresentação inteira, ajuda a notar onde o tempo está sendo perdido.</w:t>
      </w:r>
    </w:p>
    <w:p>
      <w:r>
        <w:br w:type="page"/>
      </w:r>
    </w:p>
    <w:p>
      <w:pPr>
        <w:pStyle w:val="Heading1"/>
        <w:keepNext/>
        <w:spacing w:before="480" w:after="240" w:line="240" w:lineRule="auto"/>
      </w:pPr>
      <w:r>
        <w:rPr>
          <w:rFonts w:ascii="Times New Roman" w:hAnsi="Times New Roman"/>
          <w:b/>
          <w:color w:val="000000"/>
          <w:sz w:val="26"/>
        </w:rPr>
        <w:t>3 ROTEIRO DA FALA</w:t>
      </w:r>
    </w:p>
    <w:p>
      <w:pPr>
        <w:spacing w:line="360" w:lineRule="auto" w:before="0" w:after="160"/>
        <w:ind w:firstLine="709"/>
        <w:jc w:val="both"/>
      </w:pPr>
      <w:r>
        <w:rPr>
          <w:rFonts w:ascii="Times New Roman" w:hAnsi="Times New Roman"/>
          <w:b w:val="0"/>
          <w:i w:val="0"/>
          <w:sz w:val="24"/>
        </w:rPr>
        <w:t>A seguir, o conteúdo falado para cada um dos 12 slides, organizado nos quatro blocos de tempo. O texto é uma referência de conteúdo e tom, não precisa ser reproduzido literalmente, mas cada bloco cobre exatamente o que o slide correspondente mostra, para que fala e imagem nunca se desconectem.</w:t>
      </w:r>
    </w:p>
    <w:p>
      <w:pPr>
        <w:pStyle w:val="Heading2"/>
        <w:keepNext/>
        <w:spacing w:before="320" w:after="160" w:line="240" w:lineRule="auto"/>
      </w:pPr>
      <w:r>
        <w:rPr>
          <w:rFonts w:ascii="Times New Roman" w:hAnsi="Times New Roman"/>
          <w:b/>
          <w:color w:val="000000"/>
          <w:sz w:val="24"/>
        </w:rPr>
        <w:t>3.1 Bloco 1: Introdução e problema (2 min)</w:t>
      </w:r>
    </w:p>
    <w:p>
      <w:pPr>
        <w:keepNext/>
        <w:spacing w:before="280" w:after="80" w:line="240" w:lineRule="auto"/>
      </w:pPr>
      <w:r>
        <w:rPr>
          <w:rFonts w:ascii="Times New Roman" w:hAnsi="Times New Roman"/>
          <w:b/>
          <w:color w:val="B50020"/>
          <w:sz w:val="23"/>
        </w:rPr>
        <w:t>SLIDE 01 · ABERTURA</w:t>
      </w:r>
      <w:r>
        <w:rPr>
          <w:rFonts w:ascii="Times New Roman" w:hAnsi="Times New Roman"/>
          <w:i/>
          <w:sz w:val="22"/>
        </w:rPr>
        <w:t xml:space="preserve">   (~30 s)</w:t>
      </w:r>
    </w:p>
    <w:p>
      <w:pPr>
        <w:spacing w:line="360" w:lineRule="auto" w:before="0" w:after="160"/>
        <w:ind w:firstLine="709"/>
        <w:jc w:val="both"/>
      </w:pPr>
      <w:r>
        <w:rPr>
          <w:rFonts w:ascii="Times New Roman" w:hAnsi="Times New Roman"/>
          <w:b w:val="0"/>
          <w:i w:val="0"/>
          <w:sz w:val="24"/>
        </w:rPr>
        <w:t>Boa tarde a todos. Nosso projeto se chama InformalidadeBR e parte de uma pergunta simples de fazer e difícil de responder: dá para prever, a partir de dados públicos, se um trabalhador brasileiro está na informalidade? Somos Jefferson Lopes, Guilherme Camargo e Bruno Cabral, e vamos contar como saímos de uma pergunta até um modelo capaz de responder isso com mais de 90% de capacidade de separar quem está e quem não está na informalidade.</w:t>
      </w:r>
    </w:p>
    <w:p>
      <w:pPr>
        <w:keepNext/>
        <w:spacing w:before="280" w:after="80" w:line="240" w:lineRule="auto"/>
      </w:pPr>
      <w:r>
        <w:rPr>
          <w:rFonts w:ascii="Times New Roman" w:hAnsi="Times New Roman"/>
          <w:b/>
          <w:color w:val="B50020"/>
          <w:sz w:val="23"/>
        </w:rPr>
        <w:t>SLIDE 02 · O PROBLEMA</w:t>
      </w:r>
      <w:r>
        <w:rPr>
          <w:rFonts w:ascii="Times New Roman" w:hAnsi="Times New Roman"/>
          <w:i/>
          <w:sz w:val="22"/>
        </w:rPr>
        <w:t xml:space="preserve">   (~50 s)</w:t>
      </w:r>
    </w:p>
    <w:p>
      <w:pPr>
        <w:spacing w:line="360" w:lineRule="auto" w:before="0" w:after="160"/>
        <w:ind w:firstLine="709"/>
        <w:jc w:val="both"/>
      </w:pPr>
      <w:r>
        <w:rPr>
          <w:rFonts w:ascii="Times New Roman" w:hAnsi="Times New Roman"/>
          <w:b w:val="0"/>
          <w:i w:val="0"/>
          <w:sz w:val="24"/>
        </w:rPr>
        <w:t>Começamos pelo problema, porque é ele que justifica tudo o que vem depois. Na PNAD Contínua de 2023 a 2025, olhando 2,52 milhões de trabalhadores ocupados, 47,6% estão na informalidade: sem carteira assinada, sem CNPJ, sem contribuição ao INSS. Isso não é uma minoria marginal: é quase metade do mercado de trabalho brasileiro. E o custo disso é concreto, sem acesso a crédito, sem proteção trabalhista, sem previdência. E o mais importante para o nosso projeto: essa informalidade não se distribui ao acaso. Ela se concentra por setor, por região, por gênero, por raça. Um problema desse tamanho, com esse padrão, é exatamente o tipo de problema que dado consegue enxergar.</w:t>
      </w:r>
    </w:p>
    <w:p>
      <w:pPr>
        <w:keepNext/>
        <w:spacing w:before="280" w:after="80" w:line="240" w:lineRule="auto"/>
      </w:pPr>
      <w:r>
        <w:rPr>
          <w:rFonts w:ascii="Times New Roman" w:hAnsi="Times New Roman"/>
          <w:b/>
          <w:color w:val="B50020"/>
          <w:sz w:val="23"/>
        </w:rPr>
        <w:t>SLIDE 03 · OBJETIVO DO PROJETO</w:t>
      </w:r>
      <w:r>
        <w:rPr>
          <w:rFonts w:ascii="Times New Roman" w:hAnsi="Times New Roman"/>
          <w:i/>
          <w:sz w:val="22"/>
        </w:rPr>
        <w:t xml:space="preserve">   (~40 s)</w:t>
      </w:r>
    </w:p>
    <w:p>
      <w:pPr>
        <w:spacing w:line="360" w:lineRule="auto" w:before="0" w:after="160"/>
        <w:ind w:firstLine="709"/>
        <w:jc w:val="both"/>
      </w:pPr>
      <w:r>
        <w:rPr>
          <w:rFonts w:ascii="Times New Roman" w:hAnsi="Times New Roman"/>
          <w:b w:val="0"/>
          <w:i w:val="0"/>
          <w:sz w:val="24"/>
        </w:rPr>
        <w:t>Isso nos levou a uma pergunta central: dá para prever quem está na informalidade e enxergar quem ela mais afeta? A partir dela, definimos três objetivos. Primeiro, prever a condição de informalidade a partir de características observáveis do trabalhador. Segundo, explicar quais fatores mais pesam nessa condição, não só prever, mas entender o porquê. E terceiro, medir se o modelo trata todos os grupos de forma equilibrada, porque um modelo que erra mais para um grupo específico reproduz a própria desigualdade que estamos tentando entender.</w:t>
      </w:r>
    </w:p>
    <w:p>
      <w:pPr>
        <w:pStyle w:val="Heading2"/>
        <w:keepNext/>
        <w:spacing w:before="320" w:after="160" w:line="240" w:lineRule="auto"/>
      </w:pPr>
      <w:r>
        <w:rPr>
          <w:rFonts w:ascii="Times New Roman" w:hAnsi="Times New Roman"/>
          <w:b/>
          <w:color w:val="000000"/>
          <w:sz w:val="24"/>
        </w:rPr>
        <w:t>3.2 Bloco 2: Dados e preparação (3 min)</w:t>
      </w:r>
    </w:p>
    <w:p>
      <w:pPr>
        <w:keepNext/>
        <w:spacing w:before="280" w:after="80" w:line="240" w:lineRule="auto"/>
      </w:pPr>
      <w:r>
        <w:rPr>
          <w:rFonts w:ascii="Times New Roman" w:hAnsi="Times New Roman"/>
          <w:b/>
          <w:color w:val="B50020"/>
          <w:sz w:val="23"/>
        </w:rPr>
        <w:t>SLIDE 04 · OS DADOS</w:t>
      </w:r>
      <w:r>
        <w:rPr>
          <w:rFonts w:ascii="Times New Roman" w:hAnsi="Times New Roman"/>
          <w:i/>
          <w:sz w:val="22"/>
        </w:rPr>
        <w:t xml:space="preserve">   (~60 s)</w:t>
      </w:r>
    </w:p>
    <w:p>
      <w:pPr>
        <w:spacing w:line="360" w:lineRule="auto" w:before="0" w:after="160"/>
        <w:ind w:firstLine="709"/>
        <w:jc w:val="both"/>
      </w:pPr>
      <w:r>
        <w:rPr>
          <w:rFonts w:ascii="Times New Roman" w:hAnsi="Times New Roman"/>
          <w:b w:val="0"/>
          <w:i w:val="0"/>
          <w:sz w:val="24"/>
        </w:rPr>
        <w:t>Para responder isso, buscamos a fonte mais robusta disponível: a PNAD Contínua, a maior pesquisa domiciliar do Brasil, direto do IBGE. Usamos 12 trimestres, de 2023 a 2025, cerca de 500 mil registros por trimestre. Das quase 420 variáveis disponíveis, selecionamos 22 por relevância direta ao problema. Evitamos "pegar tudo" só porque estava disponível. É uma fonte pública única, mas isso não significa dado bruto confiável por padrão: cada período baixado passa por retentativa automática e é validado por um manifesto com checksum e contagem de linhas, para detectar corrupção ou incompletude antes de qualquer análise.</w:t>
      </w:r>
    </w:p>
    <w:p>
      <w:pPr>
        <w:keepNext/>
        <w:spacing w:before="280" w:after="80" w:line="240" w:lineRule="auto"/>
      </w:pPr>
      <w:r>
        <w:rPr>
          <w:rFonts w:ascii="Times New Roman" w:hAnsi="Times New Roman"/>
          <w:b/>
          <w:color w:val="B50020"/>
          <w:sz w:val="23"/>
        </w:rPr>
        <w:t>SLIDE 05 · PRÉ-PROCESSAMENTO</w:t>
      </w:r>
      <w:r>
        <w:rPr>
          <w:rFonts w:ascii="Times New Roman" w:hAnsi="Times New Roman"/>
          <w:i/>
          <w:sz w:val="22"/>
        </w:rPr>
        <w:t xml:space="preserve">   (~60 s)</w:t>
      </w:r>
    </w:p>
    <w:p>
      <w:pPr>
        <w:spacing w:line="360" w:lineRule="auto" w:before="0" w:after="160"/>
        <w:ind w:firstLine="709"/>
        <w:jc w:val="both"/>
      </w:pPr>
      <w:r>
        <w:rPr>
          <w:rFonts w:ascii="Times New Roman" w:hAnsi="Times New Roman"/>
          <w:b w:val="0"/>
          <w:i w:val="0"/>
          <w:sz w:val="24"/>
        </w:rPr>
        <w:t>Dado bruto não é dado utilizável. Organizamos o pipeline em três camadas. A camada Bronze guarda os microdados exatamente como o IBGE publica, sem nenhuma transformação: é o nosso registro de verdade. A camada Silver decodifica os códigos em categorias legíveis, trata valores nulos e consolida os 12 trimestres em 5.748.375 linhas, e aqui vale destacar que zero linhas foram perdidas nessa reconciliação, o que validamos formalmente. A camada Gold aplica um único filtro, manter só quem está ocupado, e isso já derruba a base de 5,7 milhões para 2.522.338 pessoas: 43,9% do total. Não é perda de qualidade, é escopo: para quem não está ocupado, "informalidade" nem é um conceito que se aplica.</w:t>
      </w:r>
    </w:p>
    <w:p>
      <w:pPr>
        <w:spacing w:line="360" w:lineRule="auto" w:before="0" w:after="160"/>
        <w:ind w:firstLine="709"/>
        <w:jc w:val="both"/>
      </w:pPr>
      <w:r>
        <w:rPr>
          <w:rFonts w:ascii="Times New Roman" w:hAnsi="Times New Roman"/>
          <w:b w:val="0"/>
          <w:i w:val="0"/>
          <w:sz w:val="24"/>
        </w:rPr>
        <w:t>E o que conta como informal, exatamente? Não é intuição nossa: seguimos a mesma regra que o IBGE usa em estudos oficiais, baseada na posição na ocupação. Sem carteira assinada, no setor privado, doméstico ou público; trabalhador familiar sem remuneração; ou empregador e conta-própria sem CNPJ. Aplicando essa regra sobre os 2.522.338 ocupados, chegamos aos 47,6% de informalidade que abriram esta apresentação.</w:t>
      </w:r>
    </w:p>
    <w:p>
      <w:pPr>
        <w:keepNext/>
        <w:spacing w:before="280" w:after="80" w:line="240" w:lineRule="auto"/>
      </w:pPr>
      <w:r>
        <w:rPr>
          <w:rFonts w:ascii="Times New Roman" w:hAnsi="Times New Roman"/>
          <w:b/>
          <w:color w:val="B50020"/>
          <w:sz w:val="23"/>
        </w:rPr>
        <w:t>SLIDE 06 · ANÁLISE EXPLORATÓRIA</w:t>
      </w:r>
      <w:r>
        <w:rPr>
          <w:rFonts w:ascii="Times New Roman" w:hAnsi="Times New Roman"/>
          <w:i/>
          <w:sz w:val="22"/>
        </w:rPr>
        <w:t xml:space="preserve">   (~60 s)</w:t>
      </w:r>
    </w:p>
    <w:p>
      <w:pPr>
        <w:spacing w:line="360" w:lineRule="auto" w:before="0" w:after="160"/>
        <w:ind w:firstLine="709"/>
        <w:jc w:val="both"/>
      </w:pPr>
      <w:r>
        <w:rPr>
          <w:rFonts w:ascii="Times New Roman" w:hAnsi="Times New Roman"/>
          <w:b w:val="0"/>
          <w:i w:val="0"/>
          <w:sz w:val="24"/>
        </w:rPr>
        <w:t>Antes de treinar qualquer modelo, deixamos os dados falarem. Medimos a força de associação de cada variável candidata com a informalidade, V de Cramér para categóricas, correlação ponto-bisserial para numéricas. E dois achados lideraram claramente: tamanho do negócio, com associação de 0,570, e ter vínculo temporário, com 0,460. Setor de atividade, grupamento ocupacional e nível de instrução vêm na sequência. Esses números guiaram diretamente a escolha das features e, como vamos ver a seguir, também a escolha do algoritmo.</w:t>
      </w:r>
    </w:p>
    <w:p>
      <w:pPr>
        <w:spacing w:line="360" w:lineRule="auto" w:before="0" w:after="160"/>
        <w:ind w:firstLine="709"/>
        <w:jc w:val="both"/>
      </w:pPr>
      <w:r>
        <w:rPr>
          <w:rFonts w:ascii="Times New Roman" w:hAnsi="Times New Roman"/>
          <w:b w:val="0"/>
          <w:i w:val="0"/>
          <w:sz w:val="24"/>
        </w:rPr>
        <w:t>Mas o boletim de análise exploratória mostra mais que correlação: mostra quem é esse trabalhador. Entre os informais, 53% não concluíram o ensino médio, contra 25% entre os formais. 35% moram no Nordeste, contra 20% entre os formais. E a renda mediana é 42% menor: 1.400 reais contra 2.400 reais. Esses três números não entraram no modelo como feature, renda é consequência da informalidade, não causa, mas ajudam a enxergar o perfil por trás da estatística.</w:t>
      </w:r>
    </w:p>
    <w:p>
      <w:pPr>
        <w:spacing w:line="360" w:lineRule="auto" w:before="0" w:after="160"/>
        <w:ind w:firstLine="709"/>
        <w:jc w:val="both"/>
      </w:pPr>
      <w:r>
        <w:rPr>
          <w:rFonts w:ascii="Times New Roman" w:hAnsi="Times New Roman"/>
          <w:b w:val="0"/>
          <w:i w:val="0"/>
          <w:sz w:val="24"/>
        </w:rPr>
        <w:t>Essa escolha de variáveis foi, sem dúvida, a decisão mais difícil do projeto, em duas etapas. Primeiro, no pré-processamento: das quase 420 variáveis da PNAD, selecionamos 22 por relevância direta ao problema, para não carregar ruído para a Silver. Depois, na modelagem: dessas 22, 15 seguiram como feature. Duas delas, sexo e raça, entraram não pela força estatística, que é baixa, mas porque expor desigualdade nesses dois eixos é um objetivo declarado do projeto, não um efeito colateral.</w:t>
      </w:r>
    </w:p>
    <w:p>
      <w:pPr>
        <w:pStyle w:val="Heading2"/>
        <w:keepNext/>
        <w:spacing w:before="320" w:after="160" w:line="240" w:lineRule="auto"/>
      </w:pPr>
      <w:r>
        <w:rPr>
          <w:rFonts w:ascii="Times New Roman" w:hAnsi="Times New Roman"/>
          <w:b/>
          <w:color w:val="000000"/>
          <w:sz w:val="24"/>
        </w:rPr>
        <w:t>3.3 Bloco 3: Modelagem e solução (3 min)</w:t>
      </w:r>
    </w:p>
    <w:p>
      <w:pPr>
        <w:keepNext/>
        <w:spacing w:before="280" w:after="80" w:line="240" w:lineRule="auto"/>
      </w:pPr>
      <w:r>
        <w:rPr>
          <w:rFonts w:ascii="Times New Roman" w:hAnsi="Times New Roman"/>
          <w:b/>
          <w:color w:val="B50020"/>
          <w:sz w:val="23"/>
        </w:rPr>
        <w:t>SLIDE 07 · A SOLUÇÃO</w:t>
      </w:r>
      <w:r>
        <w:rPr>
          <w:rFonts w:ascii="Times New Roman" w:hAnsi="Times New Roman"/>
          <w:i/>
          <w:sz w:val="22"/>
        </w:rPr>
        <w:t xml:space="preserve">   (~50 s)</w:t>
      </w:r>
    </w:p>
    <w:p>
      <w:pPr>
        <w:spacing w:line="360" w:lineRule="auto" w:before="0" w:after="160"/>
        <w:ind w:firstLine="709"/>
        <w:jc w:val="both"/>
      </w:pPr>
      <w:r>
        <w:rPr>
          <w:rFonts w:ascii="Times New Roman" w:hAnsi="Times New Roman"/>
          <w:b w:val="0"/>
          <w:i w:val="0"/>
          <w:sz w:val="24"/>
        </w:rPr>
        <w:t>Todo esse trabalho está organizado em um pipeline completo, com seis etapas conectadas: ingestão, pré-processamento, transformação, análise exploratória, modelagem e interpretação. Cada etapa é uma classe própria em Python, orientada a uma interface comum, executável isoladamente ou em cadeia. Usamos pandas para manipulação de dados, scikit-learn para os modelos, e SHAP para interpretabilidade. Nada exótico, ferramentas maduras, mas organizadas de um jeito que torna o projeto inteiro reprodutível do início ao fim.</w:t>
      </w:r>
    </w:p>
    <w:p>
      <w:pPr>
        <w:keepNext/>
        <w:spacing w:before="280" w:after="80" w:line="240" w:lineRule="auto"/>
      </w:pPr>
      <w:r>
        <w:rPr>
          <w:rFonts w:ascii="Times New Roman" w:hAnsi="Times New Roman"/>
          <w:b/>
          <w:color w:val="B50020"/>
          <w:sz w:val="23"/>
        </w:rPr>
        <w:t>SLIDE 08 · CONSTRUÇÃO DO MODELO</w:t>
      </w:r>
      <w:r>
        <w:rPr>
          <w:rFonts w:ascii="Times New Roman" w:hAnsi="Times New Roman"/>
          <w:i/>
          <w:sz w:val="22"/>
        </w:rPr>
        <w:t xml:space="preserve">   (~70 s)</w:t>
      </w:r>
    </w:p>
    <w:p>
      <w:pPr>
        <w:spacing w:line="360" w:lineRule="auto" w:before="0" w:after="160"/>
        <w:ind w:firstLine="709"/>
        <w:jc w:val="both"/>
      </w:pPr>
      <w:r>
        <w:rPr>
          <w:rFonts w:ascii="Times New Roman" w:hAnsi="Times New Roman"/>
          <w:b w:val="0"/>
          <w:i w:val="0"/>
          <w:sz w:val="24"/>
        </w:rPr>
        <w:t>Para a predição em si, treinamos três modelos. Regressão Logística, como baseline interpretável: se um modelo bem mais complexo não superasse essa baseline por uma margem clara, não valeria a pena perder interpretabilidade. Random Forest, robusto, com o custo computacional controlado para não estourar memória em milhões de linhas. E HistGradientBoosting, escolhido porque lida nativamente com variável categórica e com valor nulo, e não é coincidência: as duas features mais fortes que vimos na análise exploratória têm 20% e 40% de valores nulos. Um ponto que não abrimos mão em nenhum dos três modelos: o split é temporal, não aleatório. Treinamos com 2023 e 2024, testamos só com 2025. A PNAD é um painel rotativo, a mesma pessoa aparece em trimestres seguidos, então um split aleatório vazaria a mesma pessoa entre treino e teste e inflaria os resultados de forma artificial.</w:t>
      </w:r>
    </w:p>
    <w:p>
      <w:pPr>
        <w:keepNext/>
        <w:spacing w:before="280" w:after="80" w:line="240" w:lineRule="auto"/>
      </w:pPr>
      <w:r>
        <w:rPr>
          <w:rFonts w:ascii="Times New Roman" w:hAnsi="Times New Roman"/>
          <w:b/>
          <w:color w:val="B50020"/>
          <w:sz w:val="23"/>
        </w:rPr>
        <w:t>SLIDE 09 · O QUE O MODELO APRENDEU (INTERPRETABILIDADE E EQUIDADE)</w:t>
      </w:r>
      <w:r>
        <w:rPr>
          <w:rFonts w:ascii="Times New Roman" w:hAnsi="Times New Roman"/>
          <w:i/>
          <w:sz w:val="22"/>
        </w:rPr>
        <w:t xml:space="preserve">   (~60 s)</w:t>
      </w:r>
    </w:p>
    <w:p>
      <w:pPr>
        <w:spacing w:line="360" w:lineRule="auto" w:before="0" w:after="160"/>
        <w:ind w:firstLine="709"/>
        <w:jc w:val="both"/>
      </w:pPr>
      <w:r>
        <w:rPr>
          <w:rFonts w:ascii="Times New Roman" w:hAnsi="Times New Roman"/>
          <w:b w:val="0"/>
          <w:i w:val="0"/>
          <w:sz w:val="24"/>
        </w:rPr>
        <w:t>Um modelo que não conseguimos explicar não serve para um problema social como este. Usamos SHAP para abrir a caixa do modelo campeão, e os fatores que mais pesaram na decisão foram exatamente os mesmos que a análise exploratória já apontava: vínculo temporário e tamanho do negócio na frente, seguidos de horas semanais. Isso é uma validação cruzada informal: o modelo aprendeu o mesmo padrão que os dados já mostravam antes de qualquer treino. Mas essa mesma análise expôs algo que não estava óbvio de início: o recall para o grupo "Amarelos" caiu de 84% geral para 72%, uma diferença de 12 pontos percentuais, com uma amostra de mais de 4 mil pessoas, então não é ruído estatístico. Registramos isso como um sinal de atenção real no nosso Model Card. Não é motivo para descartar o modelo, mas é exatamente o tipo de coisa que só aparece quando você olha além da métrica geral.</w:t>
      </w:r>
    </w:p>
    <w:p>
      <w:pPr>
        <w:pStyle w:val="Heading2"/>
        <w:keepNext/>
        <w:spacing w:before="320" w:after="160" w:line="240" w:lineRule="auto"/>
      </w:pPr>
      <w:r>
        <w:rPr>
          <w:rFonts w:ascii="Times New Roman" w:hAnsi="Times New Roman"/>
          <w:b/>
          <w:color w:val="000000"/>
          <w:sz w:val="24"/>
        </w:rPr>
        <w:t>3.4 Bloco 4: Resultados e conclusão (2 min)</w:t>
      </w:r>
    </w:p>
    <w:p>
      <w:pPr>
        <w:keepNext/>
        <w:spacing w:before="280" w:after="80" w:line="240" w:lineRule="auto"/>
      </w:pPr>
      <w:r>
        <w:rPr>
          <w:rFonts w:ascii="Times New Roman" w:hAnsi="Times New Roman"/>
          <w:b/>
          <w:color w:val="B50020"/>
          <w:sz w:val="23"/>
        </w:rPr>
        <w:t>SLIDE 10 · RESULTADOS OBTIDOS</w:t>
      </w:r>
      <w:r>
        <w:rPr>
          <w:rFonts w:ascii="Times New Roman" w:hAnsi="Times New Roman"/>
          <w:i/>
          <w:sz w:val="22"/>
        </w:rPr>
        <w:t xml:space="preserve">   (~50 s)</w:t>
      </w:r>
    </w:p>
    <w:p>
      <w:pPr>
        <w:spacing w:line="360" w:lineRule="auto" w:before="0" w:after="160"/>
        <w:ind w:firstLine="709"/>
        <w:jc w:val="both"/>
      </w:pPr>
      <w:r>
        <w:rPr>
          <w:rFonts w:ascii="Times New Roman" w:hAnsi="Times New Roman"/>
          <w:b w:val="0"/>
          <w:i w:val="0"/>
          <w:sz w:val="24"/>
        </w:rPr>
        <w:t>Este é o slide mais importante da nossa apresentação: a tabela completa dos três modelos, a mesma que está no boletim de modelagem. AUC-ROC é a métrica que mais importa aqui: numa escala de 0 a 1, ela mede a chance de o modelo dar uma nota de risco maior a um trabalhador informal do que a um formal, sorteando um aleatoriamente de cada. 0,5 é chute puro, 1,0 é perfeito. No ano de 2025, que nenhum dos três modelos viu durante o treino, o HistGradientBoosting atingiu 92,6% de AUC-ROC, acurácia de 84,7%, precisão de 83,8%, recall de 83,6%. Traduzindo para o negócio: de cada 100 trabalhadores informais reais no teste, o modelo identifica corretamente 84, com a mesma performance em treino e em teste, sem overfitting relevante.</w:t>
      </w:r>
    </w:p>
    <w:p>
      <w:pPr>
        <w:spacing w:line="360" w:lineRule="auto" w:before="0" w:after="160"/>
        <w:ind w:firstLine="709"/>
        <w:jc w:val="both"/>
      </w:pPr>
      <w:r>
        <w:rPr>
          <w:rFonts w:ascii="Times New Roman" w:hAnsi="Times New Roman"/>
          <w:b w:val="0"/>
          <w:i w:val="0"/>
          <w:sz w:val="24"/>
        </w:rPr>
        <w:t>E a última coluna da tabela é a que menos aparece nesse tipo de apresentação, mas que pesou de verdade na nossa decisão: tempo de treino. O HistGradientBoosting não é só o mais preciso, é também o mais rápido dos dois modelos fortes, 179 segundos contra 2.172 segundos do Random Forest, mais de 36 minutos. Doze vezes mais lento por um ganho de apenas 0,9 ponto de AUC. Isso importa porque tempo de treino é custo de engenharia: quanto mais rápido, mais vezes dá para retreinar, ajustar hiperparâmetro e comparar. Se interpretabilidade importar mais que esse último ponto percentual de desempenho, o Random Forest segue como alternativa real; mas em precisão e em velocidade, o HistGradientBoosting venceu nos dois eixos.</w:t>
      </w:r>
    </w:p>
    <w:p>
      <w:pPr>
        <w:keepNext/>
        <w:spacing w:before="280" w:after="80" w:line="240" w:lineRule="auto"/>
      </w:pPr>
      <w:r>
        <w:rPr>
          <w:rFonts w:ascii="Times New Roman" w:hAnsi="Times New Roman"/>
          <w:b/>
          <w:color w:val="B50020"/>
          <w:sz w:val="23"/>
        </w:rPr>
        <w:t>SLIDE 11 · CONCLUSÃO GERAL</w:t>
      </w:r>
      <w:r>
        <w:rPr>
          <w:rFonts w:ascii="Times New Roman" w:hAnsi="Times New Roman"/>
          <w:i/>
          <w:sz w:val="22"/>
        </w:rPr>
        <w:t xml:space="preserve">   (~50 s)</w:t>
      </w:r>
    </w:p>
    <w:p>
      <w:pPr>
        <w:spacing w:line="360" w:lineRule="auto" w:before="0" w:after="160"/>
        <w:ind w:firstLine="709"/>
        <w:jc w:val="both"/>
      </w:pPr>
      <w:r>
        <w:rPr>
          <w:rFonts w:ascii="Times New Roman" w:hAnsi="Times New Roman"/>
          <w:b w:val="0"/>
          <w:i w:val="0"/>
          <w:sz w:val="24"/>
        </w:rPr>
        <w:t>Para fechar, voltamos ao tema. A informalidade não é um detalhe estatístico: é quase metade do mercado de trabalho brasileiro, distribuída de forma desigual entre região, setor e cor. Foi esse padrão que motivou todo o projeto, do início ao fim.</w:t>
      </w:r>
    </w:p>
    <w:p>
      <w:pPr>
        <w:spacing w:line="360" w:lineRule="auto" w:before="0" w:after="160"/>
        <w:ind w:firstLine="709"/>
        <w:jc w:val="both"/>
      </w:pPr>
      <w:r>
        <w:rPr>
          <w:rFonts w:ascii="Times New Roman" w:hAnsi="Times New Roman"/>
          <w:b w:val="0"/>
          <w:i w:val="0"/>
          <w:sz w:val="24"/>
        </w:rPr>
        <w:t>Sobre o que funcionou: construímos um pipeline reprodutível de ponta a ponta, do dado bruto do IBGE até uma predição interpretável. O modelo tem bom poder preditivo, AUC de 0,93, e interpretabilidade real via SHAP, não uma caixa-preta. Sobre o que falta: a disparidade de recall no grupo Amarelos precisa de tratamento, reponderação no treino ou um threshold específico por grupo. O peso amostral complexo da PNAD ainda não entrou na avaliação, e fica como próximo passo natural, assim como monitorar novas safras trimestrais à medida que o IBGE publica.</w:t>
      </w:r>
    </w:p>
    <w:p>
      <w:pPr>
        <w:keepNext/>
        <w:spacing w:before="280" w:after="80" w:line="240" w:lineRule="auto"/>
      </w:pPr>
      <w:r>
        <w:rPr>
          <w:rFonts w:ascii="Times New Roman" w:hAnsi="Times New Roman"/>
          <w:b/>
          <w:color w:val="B50020"/>
          <w:sz w:val="23"/>
        </w:rPr>
        <w:t>SLIDE 12 · ENCERRAMENTO</w:t>
      </w:r>
      <w:r>
        <w:rPr>
          <w:rFonts w:ascii="Times New Roman" w:hAnsi="Times New Roman"/>
          <w:i/>
          <w:sz w:val="22"/>
        </w:rPr>
        <w:t xml:space="preserve">   (~10 s)</w:t>
      </w:r>
    </w:p>
    <w:p>
      <w:pPr>
        <w:spacing w:line="360" w:lineRule="auto" w:before="0" w:after="160"/>
        <w:ind w:firstLine="709"/>
        <w:jc w:val="both"/>
      </w:pPr>
      <w:r>
        <w:rPr>
          <w:rFonts w:ascii="Times New Roman" w:hAnsi="Times New Roman"/>
          <w:b w:val="0"/>
          <w:i w:val="0"/>
          <w:sz w:val="24"/>
        </w:rPr>
        <w:t>Muito obrigado. Ficamos à disposição para perguntas.</w:t>
      </w:r>
    </w:p>
    <w:p>
      <w:r>
        <w:br w:type="page"/>
      </w:r>
    </w:p>
    <w:p>
      <w:pPr>
        <w:pStyle w:val="Heading1"/>
        <w:keepNext/>
        <w:spacing w:before="480" w:after="240" w:line="240" w:lineRule="auto"/>
      </w:pPr>
      <w:r>
        <w:rPr>
          <w:rFonts w:ascii="Times New Roman" w:hAnsi="Times New Roman"/>
          <w:b/>
          <w:color w:val="000000"/>
          <w:sz w:val="26"/>
        </w:rPr>
        <w:t>4 PERGUNTAS E RESPOSTAS ANTECIPADAS</w:t>
      </w:r>
    </w:p>
    <w:p>
      <w:pPr>
        <w:spacing w:line="360" w:lineRule="auto" w:before="0" w:after="160"/>
        <w:ind w:firstLine="709"/>
        <w:jc w:val="both"/>
      </w:pPr>
      <w:r>
        <w:rPr>
          <w:rFonts w:ascii="Times New Roman" w:hAnsi="Times New Roman"/>
          <w:b w:val="0"/>
          <w:i w:val="0"/>
          <w:sz w:val="24"/>
        </w:rPr>
        <w:t>Os 10 minutos de perguntas e respostas costumam mirar exatamente nos pontos que a apresentação resume em uma frase. As perguntas abaixo foram antecipadas a partir das decisões técnicas documentadas no projeto. A resposta de cada uma já existe na documentação, não precisa ser inventada na hora.</w:t>
      </w:r>
    </w:p>
    <w:p>
      <w:pPr>
        <w:spacing w:before="200" w:after="40" w:line="360" w:lineRule="auto"/>
      </w:pPr>
      <w:r>
        <w:rPr>
          <w:rFonts w:ascii="Times New Roman" w:hAnsi="Times New Roman"/>
          <w:b/>
          <w:sz w:val="24"/>
        </w:rPr>
        <w:t xml:space="preserve">P: </w:t>
      </w:r>
      <w:r>
        <w:rPr>
          <w:rFonts w:ascii="Times New Roman" w:hAnsi="Times New Roman"/>
          <w:i/>
          <w:sz w:val="24"/>
        </w:rPr>
        <w:t>Por que renda não foi usada como variável preditiva, já que é um indicador óbvio de informalidade?</w:t>
      </w:r>
    </w:p>
    <w:p>
      <w:pPr>
        <w:spacing w:line="360" w:lineRule="auto" w:after="120"/>
        <w:jc w:val="both"/>
      </w:pPr>
      <w:r>
        <w:rPr>
          <w:rFonts w:ascii="Times New Roman" w:hAnsi="Times New Roman"/>
          <w:b/>
          <w:sz w:val="24"/>
        </w:rPr>
        <w:t xml:space="preserve">R: </w:t>
      </w:r>
      <w:r>
        <w:rPr>
          <w:rFonts w:ascii="Times New Roman" w:hAnsi="Times New Roman"/>
          <w:sz w:val="24"/>
        </w:rPr>
        <w:t>Porque é vazamento circular: renda está fortemente correlacionada com a própria condição de informalidade, então usá-la como feature infla a métrica artificialmente e destrói a interpretabilidade que o projeto se propõe a entregar. Ela foi mantida apenas para um gráfico de apoio na análise exploratória (gap salarial entre formal e informal), nunca como entrada do classificador.</w:t>
      </w:r>
    </w:p>
    <w:p>
      <w:pPr>
        <w:spacing w:before="200" w:after="40" w:line="360" w:lineRule="auto"/>
      </w:pPr>
      <w:r>
        <w:rPr>
          <w:rFonts w:ascii="Times New Roman" w:hAnsi="Times New Roman"/>
          <w:b/>
          <w:sz w:val="24"/>
        </w:rPr>
        <w:t xml:space="preserve">P: </w:t>
      </w:r>
      <w:r>
        <w:rPr>
          <w:rFonts w:ascii="Times New Roman" w:hAnsi="Times New Roman"/>
          <w:i/>
          <w:sz w:val="24"/>
        </w:rPr>
        <w:t>Por que HistGradientBoosting e não XGBoost ou LightGBM, que são mais populares?</w:t>
      </w:r>
    </w:p>
    <w:p>
      <w:pPr>
        <w:spacing w:line="360" w:lineRule="auto" w:after="120"/>
        <w:jc w:val="both"/>
      </w:pPr>
      <w:r>
        <w:rPr>
          <w:rFonts w:ascii="Times New Roman" w:hAnsi="Times New Roman"/>
          <w:b/>
          <w:sz w:val="24"/>
        </w:rPr>
        <w:t xml:space="preserve">R: </w:t>
      </w:r>
      <w:r>
        <w:rPr>
          <w:rFonts w:ascii="Times New Roman" w:hAnsi="Times New Roman"/>
          <w:sz w:val="24"/>
        </w:rPr>
        <w:t>Decisão consciente de não adicionar uma dependência nova ao projeto sem necessidade comprovada. O HistGradientBoosting do próprio scikit-learn já resolve os dois problemas concretos que tínhamos: suporte nativo a variável categórica de alta cardinalidade (UF, setor) e a valor nulo nas duas features mais fortes. XGBoost e LightGBM ficam como upgrade futuro possível, não descartados por mérito técnico.</w:t>
      </w:r>
    </w:p>
    <w:p>
      <w:pPr>
        <w:spacing w:before="200" w:after="40" w:line="360" w:lineRule="auto"/>
      </w:pPr>
      <w:r>
        <w:rPr>
          <w:rFonts w:ascii="Times New Roman" w:hAnsi="Times New Roman"/>
          <w:b/>
          <w:sz w:val="24"/>
        </w:rPr>
        <w:t xml:space="preserve">P: </w:t>
      </w:r>
      <w:r>
        <w:rPr>
          <w:rFonts w:ascii="Times New Roman" w:hAnsi="Times New Roman"/>
          <w:i/>
          <w:sz w:val="24"/>
        </w:rPr>
        <w:t>Como garantiram que não houve vazamento de dado (data leakage) entre a definição do alvo e as features usadas para prevê-lo?</w:t>
      </w:r>
    </w:p>
    <w:p>
      <w:pPr>
        <w:spacing w:line="360" w:lineRule="auto" w:after="120"/>
        <w:jc w:val="both"/>
      </w:pPr>
      <w:r>
        <w:rPr>
          <w:rFonts w:ascii="Times New Roman" w:hAnsi="Times New Roman"/>
          <w:b/>
          <w:sz w:val="24"/>
        </w:rPr>
        <w:t xml:space="preserve">R: </w:t>
      </w:r>
      <w:r>
        <w:rPr>
          <w:rFonts w:ascii="Times New Roman" w:hAnsi="Times New Roman"/>
          <w:sz w:val="24"/>
        </w:rPr>
        <w:t>As variáveis usadas para construir a própria variável-alvo `informal` na camada Gold, como VD4009, V4019, VD4012 e VD4002, foram explicitamente excluídas da lista de features. Incluí-las faria o modelo aprender a copiar a definição do alvo, não a prever a partir de características reais do trabalhador.</w:t>
      </w:r>
    </w:p>
    <w:p>
      <w:pPr>
        <w:spacing w:before="200" w:after="40" w:line="360" w:lineRule="auto"/>
      </w:pPr>
      <w:r>
        <w:rPr>
          <w:rFonts w:ascii="Times New Roman" w:hAnsi="Times New Roman"/>
          <w:b/>
          <w:sz w:val="24"/>
        </w:rPr>
        <w:t xml:space="preserve">P: </w:t>
      </w:r>
      <w:r>
        <w:rPr>
          <w:rFonts w:ascii="Times New Roman" w:hAnsi="Times New Roman"/>
          <w:i/>
          <w:sz w:val="24"/>
        </w:rPr>
        <w:t>O que explica a queda de recall no grupo "Amarelos"?</w:t>
      </w:r>
    </w:p>
    <w:p>
      <w:pPr>
        <w:spacing w:line="360" w:lineRule="auto" w:after="120"/>
        <w:jc w:val="both"/>
      </w:pPr>
      <w:r>
        <w:rPr>
          <w:rFonts w:ascii="Times New Roman" w:hAnsi="Times New Roman"/>
          <w:b/>
          <w:sz w:val="24"/>
        </w:rPr>
        <w:t xml:space="preserve">R: </w:t>
      </w:r>
      <w:r>
        <w:rPr>
          <w:rFonts w:ascii="Times New Roman" w:hAnsi="Times New Roman"/>
          <w:sz w:val="24"/>
        </w:rPr>
        <w:t>Ainda não temos uma causa raiz confirmada. É um achado do diagnóstico automático, não uma conclusão fechada. As hipóteses mais prováveis são menor representatividade do grupo na amostra de treino e possível diferença na distribuição das features mais fortes (tamanho do negócio, vínculo temporário) dentro desse grupo. É por isso que virou explicitamente um próximo passo: investigar antes de propor uma correção.</w:t>
      </w:r>
    </w:p>
    <w:p>
      <w:pPr>
        <w:spacing w:before="200" w:after="40" w:line="360" w:lineRule="auto"/>
      </w:pPr>
      <w:r>
        <w:rPr>
          <w:rFonts w:ascii="Times New Roman" w:hAnsi="Times New Roman"/>
          <w:b/>
          <w:sz w:val="24"/>
        </w:rPr>
        <w:t xml:space="preserve">P: </w:t>
      </w:r>
      <w:r>
        <w:rPr>
          <w:rFonts w:ascii="Times New Roman" w:hAnsi="Times New Roman"/>
          <w:i/>
          <w:sz w:val="24"/>
        </w:rPr>
        <w:t>Os dados são representativos da população brasileira?</w:t>
      </w:r>
    </w:p>
    <w:p>
      <w:pPr>
        <w:spacing w:line="360" w:lineRule="auto" w:after="120"/>
        <w:jc w:val="both"/>
      </w:pPr>
      <w:r>
        <w:rPr>
          <w:rFonts w:ascii="Times New Roman" w:hAnsi="Times New Roman"/>
          <w:b/>
          <w:sz w:val="24"/>
        </w:rPr>
        <w:t xml:space="preserve">R: </w:t>
      </w:r>
      <w:r>
        <w:rPr>
          <w:rFonts w:ascii="Times New Roman" w:hAnsi="Times New Roman"/>
          <w:sz w:val="24"/>
        </w:rPr>
        <w:t>A PNAD Contínua é uma amostra complexa, estratificada, por conglomerados, não uma amostra aleatória simples. Estatísticas descritivas exigem ponderação pelo peso amostral (V1028) para representar a população corretamente. Nosso projeto ainda não incorpora esse peso na avaliação do modelo; é uma limitação conhecida e registrada como próximo passo.</w:t>
      </w:r>
    </w:p>
    <w:p>
      <w:pPr>
        <w:spacing w:before="200" w:after="40" w:line="360" w:lineRule="auto"/>
      </w:pPr>
      <w:r>
        <w:rPr>
          <w:rFonts w:ascii="Times New Roman" w:hAnsi="Times New Roman"/>
          <w:b/>
          <w:sz w:val="24"/>
        </w:rPr>
        <w:t xml:space="preserve">P: </w:t>
      </w:r>
      <w:r>
        <w:rPr>
          <w:rFonts w:ascii="Times New Roman" w:hAnsi="Times New Roman"/>
          <w:i/>
          <w:sz w:val="24"/>
        </w:rPr>
        <w:t>Esse modelo poderia ser usado para decisões automatizadas sobre pessoas específicas?</w:t>
      </w:r>
    </w:p>
    <w:p>
      <w:pPr>
        <w:spacing w:line="360" w:lineRule="auto" w:after="120"/>
        <w:jc w:val="both"/>
      </w:pPr>
      <w:r>
        <w:rPr>
          <w:rFonts w:ascii="Times New Roman" w:hAnsi="Times New Roman"/>
          <w:b/>
          <w:sz w:val="24"/>
        </w:rPr>
        <w:t xml:space="preserve">R: </w:t>
      </w:r>
      <w:r>
        <w:rPr>
          <w:rFonts w:ascii="Times New Roman" w:hAnsi="Times New Roman"/>
          <w:sz w:val="24"/>
        </w:rPr>
        <w:t>Não é essa a proposta. Os microdados do IBGE são anonimizados, sem identificação direta, e o objetivo do projeto é diagnóstico agregado: entender fatores e desigualdades estruturais, não rotular ou tomar decisão sobre um indivíduo. A própria análise de equidade por SHAP existe para expor onde o modelo trata grupos de forma diferente, não para justificar uso individual.</w:t>
      </w:r>
    </w:p>
    <w:p>
      <w:pPr>
        <w:spacing w:before="200" w:after="40" w:line="360" w:lineRule="auto"/>
      </w:pPr>
      <w:r>
        <w:rPr>
          <w:rFonts w:ascii="Times New Roman" w:hAnsi="Times New Roman"/>
          <w:b/>
          <w:sz w:val="24"/>
        </w:rPr>
        <w:t xml:space="preserve">P: </w:t>
      </w:r>
      <w:r>
        <w:rPr>
          <w:rFonts w:ascii="Times New Roman" w:hAnsi="Times New Roman"/>
          <w:i/>
          <w:sz w:val="24"/>
        </w:rPr>
        <w:t>Por que 15 features e não todas as variáveis disponíveis?</w:t>
      </w:r>
    </w:p>
    <w:p>
      <w:pPr>
        <w:spacing w:line="360" w:lineRule="auto" w:after="120"/>
        <w:jc w:val="both"/>
      </w:pPr>
      <w:r>
        <w:rPr>
          <w:rFonts w:ascii="Times New Roman" w:hAnsi="Times New Roman"/>
          <w:b/>
          <w:sz w:val="24"/>
        </w:rPr>
        <w:t xml:space="preserve">R: </w:t>
      </w:r>
      <w:r>
        <w:rPr>
          <w:rFonts w:ascii="Times New Roman" w:hAnsi="Times New Roman"/>
          <w:sz w:val="24"/>
        </w:rPr>
        <w:t>Cada uma das 15 features tem uma justificativa registrada: força de associação medida na análise exploratória, ou inclusão obrigatória por escopo do projeto (sexo e raça, mesmo com associação individual fraca, porque expor desigualdade nesses eixos é objetivo declarado do RF-06). Variáveis com associação praticamente nula, como frequenta escola, foram excluídas deliberadamente para não introduzir ruído.</w:t>
      </w:r>
    </w:p>
    <w:p>
      <w:pPr>
        <w:spacing w:before="200" w:after="40" w:line="360" w:lineRule="auto"/>
      </w:pPr>
      <w:r>
        <w:rPr>
          <w:rFonts w:ascii="Times New Roman" w:hAnsi="Times New Roman"/>
          <w:b/>
          <w:sz w:val="24"/>
        </w:rPr>
        <w:t xml:space="preserve">P: </w:t>
      </w:r>
      <w:r>
        <w:rPr>
          <w:rFonts w:ascii="Times New Roman" w:hAnsi="Times New Roman"/>
          <w:i/>
          <w:sz w:val="24"/>
        </w:rPr>
        <w:t>Se tivessem mais tempo, qual seria o próximo passo?</w:t>
      </w:r>
    </w:p>
    <w:p>
      <w:pPr>
        <w:spacing w:line="360" w:lineRule="auto" w:after="120"/>
        <w:jc w:val="both"/>
      </w:pPr>
      <w:r>
        <w:rPr>
          <w:rFonts w:ascii="Times New Roman" w:hAnsi="Times New Roman"/>
          <w:b/>
          <w:sz w:val="24"/>
        </w:rPr>
        <w:t xml:space="preserve">R: </w:t>
      </w:r>
      <w:r>
        <w:rPr>
          <w:rFonts w:ascii="Times New Roman" w:hAnsi="Times New Roman"/>
          <w:sz w:val="24"/>
        </w:rPr>
        <w:t>Três, em ordem de prioridade: tratar a disparidade de equidade encontrada (reponderação ou threshold por grupo), incorporar o peso amostral da PNAD na avaliação, e criar um processo de monitoramento contínuo à medida que o IBGE publica novos trimestres. Hoje o pipeline roda sob demanda, não em produção.</w:t>
      </w:r>
    </w:p>
    <w:p>
      <w:r>
        <w:br w:type="page"/>
      </w:r>
    </w:p>
    <w:p>
      <w:pPr>
        <w:pStyle w:val="Heading1"/>
        <w:keepNext/>
        <w:spacing w:before="480" w:after="240" w:line="240" w:lineRule="auto"/>
      </w:pPr>
      <w:r>
        <w:rPr>
          <w:rFonts w:ascii="Times New Roman" w:hAnsi="Times New Roman"/>
          <w:b/>
          <w:color w:val="000000"/>
          <w:sz w:val="26"/>
        </w:rPr>
        <w:t>5 SLIDES DE APOIO (MATERIAL OCULTO)</w:t>
      </w:r>
    </w:p>
    <w:p>
      <w:pPr>
        <w:spacing w:line="360" w:lineRule="auto" w:before="0" w:after="160"/>
        <w:ind w:firstLine="709"/>
        <w:jc w:val="both"/>
      </w:pPr>
      <w:r>
        <w:rPr>
          <w:rFonts w:ascii="Times New Roman" w:hAnsi="Times New Roman"/>
          <w:b w:val="0"/>
          <w:i w:val="0"/>
          <w:sz w:val="24"/>
        </w:rPr>
        <w:t>O arquivo InformalidadeBR - Apresentacao.pptx tem 17 slides no total: os 12 numerados acima, que contam a história em 10 minutos, e mais 5 marcados como "ocultos" no PowerPoint. Eles não aparecem ao apertar F5 e avançar normalmente. Para abri-los, basta clicar no círculo preto com "+" que aparece nos slides 5 (dois círculos), 6 (dois círculos) e 10 (um círculo). O clique pula direto para o slide de apoio correspondente, mesmo durante a apresentação. Cada slide de apoio tem um ícone de casinha no canto superior esquerdo, que retorna exatamente para onde a apresentação estava antes do clique. (Alternativa manual, se algum botão falhar: clique direito → Ver Todos os Slides, ou digite o número do slide e Enter.) Servem para aprofundar uma resposta na rodada de perguntas sem atropelar o tempo da apresentação principal.</w:t>
      </w:r>
    </w:p>
    <w:p>
      <w:pPr>
        <w:spacing w:before="200" w:after="40" w:line="240" w:lineRule="auto"/>
      </w:pPr>
      <w:r>
        <w:rPr>
          <w:rFonts w:ascii="Times New Roman" w:hAnsi="Times New Roman"/>
          <w:b/>
          <w:sz w:val="24"/>
        </w:rPr>
        <w:t>Slide 13: O funil completo dos dados</w:t>
      </w:r>
    </w:p>
    <w:p>
      <w:pPr>
        <w:spacing w:line="360" w:lineRule="auto" w:before="0" w:after="80"/>
        <w:jc w:val="both"/>
      </w:pPr>
      <w:r>
        <w:rPr>
          <w:rFonts w:ascii="Times New Roman" w:hAnsi="Times New Roman"/>
          <w:b w:val="0"/>
          <w:i w:val="0"/>
          <w:sz w:val="24"/>
        </w:rPr>
        <w:t>Detalha Bronze (12 arquivos, cerca de 19 GB), Silver (5.748.375 linhas) e Gold (2.522.338 ocupados, 43,9% de retenção), com a composição completa de quem fica de fora (menores de 14, fora da força de trabalho, desocupados) e um achado extra: mulheres são 64% do grupo fora da força de trabalho e 53% dos desocupados buscando emprego, contra 43% entre os ocupados. Puxar se perguntarem sobre volume de dados ou quem fica fora do filtro.</w:t>
      </w:r>
    </w:p>
    <w:p>
      <w:pPr>
        <w:spacing w:before="200" w:after="40" w:line="240" w:lineRule="auto"/>
      </w:pPr>
      <w:r>
        <w:rPr>
          <w:rFonts w:ascii="Times New Roman" w:hAnsi="Times New Roman"/>
          <w:b/>
          <w:sz w:val="24"/>
        </w:rPr>
        <w:t>Slide 14: A regra completa de informalidade</w:t>
      </w:r>
    </w:p>
    <w:p>
      <w:pPr>
        <w:spacing w:line="360" w:lineRule="auto" w:before="0" w:after="80"/>
        <w:jc w:val="both"/>
      </w:pPr>
      <w:r>
        <w:rPr>
          <w:rFonts w:ascii="Times New Roman" w:hAnsi="Times New Roman"/>
          <w:b w:val="0"/>
          <w:i w:val="0"/>
          <w:sz w:val="24"/>
        </w:rPr>
        <w:t>Tabela com as 10 categorias de VD4009 e a classificação formal/informal de cada uma, incluindo o desempate por V4019 (CNPJ) e a alternativa mais simples (VD4012) que foi considerada e descartada. Puxar se perguntarem exatamente como "informal" foi definido.</w:t>
      </w:r>
    </w:p>
    <w:p>
      <w:pPr>
        <w:spacing w:before="200" w:after="40" w:line="240" w:lineRule="auto"/>
      </w:pPr>
      <w:r>
        <w:rPr>
          <w:rFonts w:ascii="Times New Roman" w:hAnsi="Times New Roman"/>
          <w:b/>
          <w:sz w:val="24"/>
        </w:rPr>
        <w:t>Slide 15: Por que essas 15 features</w:t>
      </w:r>
    </w:p>
    <w:p>
      <w:pPr>
        <w:spacing w:line="360" w:lineRule="auto" w:before="0" w:after="80"/>
        <w:jc w:val="both"/>
      </w:pPr>
      <w:r>
        <w:rPr>
          <w:rFonts w:ascii="Times New Roman" w:hAnsi="Times New Roman"/>
          <w:b w:val="0"/>
          <w:i w:val="0"/>
          <w:sz w:val="24"/>
        </w:rPr>
        <w:t>As 15 features com a força de associação de cada uma, mais a lista do que foi excluído e por quê (vazamento de dado, associação quase nula, chaves de deduplicação). Puxar se perguntarem sobre uma variável específica que não apareceu, ou sobre a decisão de features em geral.</w:t>
      </w:r>
    </w:p>
    <w:p>
      <w:pPr>
        <w:spacing w:before="200" w:after="40" w:line="240" w:lineRule="auto"/>
      </w:pPr>
      <w:r>
        <w:rPr>
          <w:rFonts w:ascii="Times New Roman" w:hAnsi="Times New Roman"/>
          <w:b/>
          <w:sz w:val="24"/>
        </w:rPr>
        <w:t>Slide 16: Matrizes de confusão dos 3 modelos</w:t>
      </w:r>
    </w:p>
    <w:p>
      <w:pPr>
        <w:spacing w:line="360" w:lineRule="auto" w:before="0" w:after="80"/>
        <w:jc w:val="both"/>
      </w:pPr>
      <w:r>
        <w:rPr>
          <w:rFonts w:ascii="Times New Roman" w:hAnsi="Times New Roman"/>
          <w:b w:val="0"/>
          <w:i w:val="0"/>
          <w:sz w:val="24"/>
        </w:rPr>
        <w:t>Os números completos de acerto e erro por modelo no teste de 2025 (864.940 pessoas), com destaque para o custo do falso negativo. Puxar se perguntarem sobre onde exatamente o modelo erra.</w:t>
      </w:r>
    </w:p>
    <w:p>
      <w:pPr>
        <w:spacing w:before="200" w:after="40" w:line="240" w:lineRule="auto"/>
      </w:pPr>
      <w:r>
        <w:rPr>
          <w:rFonts w:ascii="Times New Roman" w:hAnsi="Times New Roman"/>
          <w:b/>
          <w:sz w:val="24"/>
        </w:rPr>
        <w:t>Slide 17: Sem instrução e agropecuária concentram a informalidade</w:t>
      </w:r>
    </w:p>
    <w:p>
      <w:pPr>
        <w:spacing w:line="360" w:lineRule="auto" w:before="0" w:after="80"/>
        <w:jc w:val="both"/>
      </w:pPr>
      <w:r>
        <w:rPr>
          <w:rFonts w:ascii="Times New Roman" w:hAnsi="Times New Roman"/>
          <w:b w:val="0"/>
          <w:i w:val="0"/>
          <w:sz w:val="24"/>
        </w:rPr>
        <w:t>Um único ranking (escolaridade e setor combinados, escala logarítmica) mostrando quantas vezes cada categoria é mais comum num grupo do que no outro. Só os 3 casos mais extremos ganham cor (vermelho: sem instrução 5x, agropecuária 4x; preto: superior completo 0,4x) — o resto fica cinza, sem competir por atenção. Mais a comparação de renda mediana (42% menor entre informais). Puxar se pedirem para ver os gráficos da EDA além do ranking de força das features.</w:t>
      </w:r>
    </w:p>
    <w:p>
      <w:r>
        <w:br w:type="page"/>
      </w:r>
    </w:p>
    <w:p>
      <w:pPr>
        <w:pStyle w:val="Heading1"/>
        <w:keepNext/>
        <w:spacing w:before="480" w:after="240" w:line="240" w:lineRule="auto"/>
      </w:pPr>
      <w:r>
        <w:rPr>
          <w:rFonts w:ascii="Times New Roman" w:hAnsi="Times New Roman"/>
          <w:b/>
          <w:color w:val="000000"/>
          <w:sz w:val="26"/>
        </w:rPr>
        <w:t>6 CHECKLIST DE ENSAIO</w:t>
      </w:r>
    </w:p>
    <w:p>
      <w:pPr>
        <w:spacing w:line="360" w:lineRule="auto" w:before="0" w:after="160"/>
        <w:ind w:firstLine="709"/>
        <w:jc w:val="both"/>
      </w:pPr>
      <w:r>
        <w:rPr>
          <w:rFonts w:ascii="Times New Roman" w:hAnsi="Times New Roman"/>
          <w:b w:val="0"/>
          <w:i w:val="0"/>
          <w:sz w:val="24"/>
        </w:rPr>
        <w:t>Itens práticos para revisar antes do dia da apresentação, com base nas armadilhas mais comuns desse tipo de apresentação:</w:t>
      </w:r>
    </w:p>
    <w:p>
      <w:pPr>
        <w:pStyle w:val="ListBullet"/>
        <w:spacing w:line="360" w:lineRule="auto" w:after="80"/>
      </w:pPr>
      <w:r>
        <w:rPr>
          <w:rFonts w:ascii="Times New Roman" w:hAnsi="Times New Roman"/>
          <w:sz w:val="24"/>
        </w:rPr>
        <w:t>Ensaiar com cronômetro por bloco (2-3-3-2 min), não só o tempo total. É onde o estouro de tempo costuma se esconder.</w:t>
      </w:r>
    </w:p>
    <w:p>
      <w:pPr>
        <w:pStyle w:val="ListBullet"/>
        <w:spacing w:line="360" w:lineRule="auto" w:after="80"/>
      </w:pPr>
      <w:r>
        <w:rPr>
          <w:rFonts w:ascii="Times New Roman" w:hAnsi="Times New Roman"/>
          <w:sz w:val="24"/>
        </w:rPr>
        <w:t>Cada gráfico deve vir acompanhado da pergunta que ele responde em voz alta ("o que aprendemos com isso?"). Nunca mostrar um gráfico sem interpretá-lo.</w:t>
      </w:r>
    </w:p>
    <w:p>
      <w:pPr>
        <w:pStyle w:val="ListBullet"/>
        <w:spacing w:line="360" w:lineRule="auto" w:after="80"/>
      </w:pPr>
      <w:r>
        <w:rPr>
          <w:rFonts w:ascii="Times New Roman" w:hAnsi="Times New Roman"/>
          <w:sz w:val="24"/>
        </w:rPr>
        <w:t>Evitar reproduzir código ou termos técnicos sem tradução (AUC-ROC, SHAP, overfitting), sempre seguidos de uma explicação em uma frase.</w:t>
      </w:r>
    </w:p>
    <w:p>
      <w:pPr>
        <w:pStyle w:val="ListBullet"/>
        <w:spacing w:line="360" w:lineRule="auto" w:after="80"/>
      </w:pPr>
      <w:r>
        <w:rPr>
          <w:rFonts w:ascii="Times New Roman" w:hAnsi="Times New Roman"/>
          <w:sz w:val="24"/>
        </w:rPr>
        <w:t>Não esconder a limitação de equidade do grupo Amarelos. Apresentá-la com confiança, como prova de rigor metodológico, não como falha.</w:t>
      </w:r>
    </w:p>
    <w:p>
      <w:pPr>
        <w:pStyle w:val="ListBullet"/>
        <w:spacing w:line="360" w:lineRule="auto" w:after="80"/>
      </w:pPr>
      <w:r>
        <w:rPr>
          <w:rFonts w:ascii="Times New Roman" w:hAnsi="Times New Roman"/>
          <w:sz w:val="24"/>
        </w:rPr>
        <w:t>Praticar a transição entre blocos em voz alta, não só o conteúdo de cada slide. É onde a apresentação costuma soar fragmentada.</w:t>
      </w:r>
    </w:p>
    <w:p>
      <w:pPr>
        <w:pStyle w:val="ListBullet"/>
        <w:spacing w:line="360" w:lineRule="auto" w:after="80"/>
      </w:pPr>
      <w:r>
        <w:rPr>
          <w:rFonts w:ascii="Times New Roman" w:hAnsi="Times New Roman"/>
          <w:sz w:val="24"/>
        </w:rPr>
        <w:t>Confirmar que os três integrantes concordam com a divisão de tempo e sabem em qual slide cada um assume a fala.</w:t>
      </w:r>
    </w:p>
    <w:p>
      <w:pPr>
        <w:pStyle w:val="ListBullet"/>
        <w:spacing w:line="360" w:lineRule="auto" w:after="80"/>
      </w:pPr>
      <w:r>
        <w:rPr>
          <w:rFonts w:ascii="Times New Roman" w:hAnsi="Times New Roman"/>
          <w:sz w:val="24"/>
        </w:rPr>
        <w:t>Revisar as oito perguntas antecipadas (seção 4) na véspera, em voz alta, não só lendo.</w:t>
      </w:r>
    </w:p>
    <w:p>
      <w:r>
        <w:br w:type="page"/>
      </w:r>
    </w:p>
    <w:p>
      <w:pPr>
        <w:pStyle w:val="Heading1"/>
        <w:keepNext/>
        <w:spacing w:before="480" w:after="240" w:line="240" w:lineRule="auto"/>
      </w:pPr>
      <w:r>
        <w:rPr>
          <w:rFonts w:ascii="Times New Roman" w:hAnsi="Times New Roman"/>
          <w:b/>
          <w:color w:val="000000"/>
          <w:sz w:val="26"/>
        </w:rPr>
        <w:t>REFERÊNCIAS</w:t>
      </w:r>
    </w:p>
    <w:p>
      <w:pPr>
        <w:spacing w:line="240" w:lineRule="auto" w:after="240"/>
        <w:ind w:left="0"/>
      </w:pPr>
      <w:r>
        <w:rPr>
          <w:rFonts w:ascii="Times New Roman" w:hAnsi="Times New Roman"/>
          <w:sz w:val="24"/>
        </w:rPr>
        <w:t>INSTITUTO BRASILEIRO DE GEOGRAFIA E ESTATÍSTICA. Pesquisa Nacional por Amostra de Domicílios Contínua (PNAD Contínua): microdados trimestrais, 2023-2025. Rio de Janeiro: IBGE, 2025. Disponível em: https://ftp.ibge.gov.br/Trabalho_e_Rendimento/Pesquisa_Nacional_por_Amostra_de_Domicilios_continua/Trimestral/Microdados/. Acesso em: 2026.</w:t>
      </w:r>
    </w:p>
    <w:p>
      <w:pPr>
        <w:spacing w:line="240" w:lineRule="auto" w:after="240"/>
        <w:ind w:left="0"/>
      </w:pPr>
      <w:r>
        <w:rPr>
          <w:rFonts w:ascii="Times New Roman" w:hAnsi="Times New Roman"/>
          <w:sz w:val="24"/>
        </w:rPr>
        <w:t>MITCHELL, Margaret et al. Model Cards for Model Reporting. In: CONFERENCE ON FAIRNESS, ACCOUNTABILITY, AND TRANSPARENCY (FAT*), 2019, Atlanta. Proceedings [...]. New York: ACM, 2019.</w:t>
      </w:r>
    </w:p>
    <w:p>
      <w:pPr>
        <w:spacing w:line="240" w:lineRule="auto" w:after="240"/>
        <w:ind w:left="0"/>
      </w:pPr>
      <w:r>
        <w:rPr>
          <w:rFonts w:ascii="Times New Roman" w:hAnsi="Times New Roman"/>
          <w:sz w:val="24"/>
        </w:rPr>
        <w:t>InformalidadeBR: repositório do projeto, documentação de requisitos, arquitetura e plano de modelagem. Disponível em: github.com/gui-ramon/pipeline-hands-on-engenharia-de-dados.</w:t>
      </w:r>
    </w:p>
    <w:sectPr w:rsidR="00FC693F" w:rsidRPr="0006063C" w:rsidSect="00034616">
      <w:foot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