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4"/>
        </w:rPr>
        <w:t>UNIVERSIDADE PRESBITERIANA MACKENZIE</w:t>
      </w:r>
    </w:p>
    <w:p>
      <w:pPr>
        <w:jc w:val="center"/>
      </w:pPr>
      <w:r>
        <w:rPr>
          <w:rFonts w:ascii="Times New Roman" w:hAnsi="Times New Roman"/>
          <w:sz w:val="24"/>
        </w:rPr>
        <w:t>Pós-Graduação em Engenharia de Dados</w:t>
      </w:r>
    </w:p>
    <w:p/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INFORMALIDADEBR</w:t>
      </w:r>
    </w:p>
    <w:p>
      <w:pPr>
        <w:jc w:val="center"/>
      </w:pPr>
      <w:r>
        <w:rPr>
          <w:rFonts w:ascii="Times New Roman" w:hAnsi="Times New Roman"/>
          <w:sz w:val="26"/>
        </w:rPr>
        <w:t>Predição de trabalho informal a partir da PNAD Contínua:</w:t>
      </w:r>
    </w:p>
    <w:p>
      <w:pPr>
        <w:jc w:val="center"/>
      </w:pPr>
      <w:r>
        <w:rPr>
          <w:rFonts w:ascii="Times New Roman" w:hAnsi="Times New Roman"/>
          <w:sz w:val="26"/>
        </w:rPr>
        <w:t>roteiro de apresentação</w:t>
      </w:r>
    </w:p>
    <w:p/>
    <w:p/>
    <w:p/>
    <w:p/>
    <w:p/>
    <w:p>
      <w:pPr>
        <w:jc w:val="center"/>
      </w:pPr>
      <w:r>
        <w:rPr>
          <w:rFonts w:ascii="Times New Roman" w:hAnsi="Times New Roman"/>
          <w:b/>
          <w:sz w:val="24"/>
        </w:rPr>
        <w:t>Integrantes:</w:t>
      </w:r>
    </w:p>
    <w:p>
      <w:pPr>
        <w:jc w:val="center"/>
      </w:pPr>
      <w:r>
        <w:rPr>
          <w:rFonts w:ascii="Times New Roman" w:hAnsi="Times New Roman"/>
          <w:sz w:val="24"/>
        </w:rPr>
        <w:t>Jefferson Aparecido Nunes Lopes</w:t>
      </w:r>
    </w:p>
    <w:p>
      <w:pPr>
        <w:jc w:val="center"/>
      </w:pPr>
      <w:r>
        <w:rPr>
          <w:rFonts w:ascii="Times New Roman" w:hAnsi="Times New Roman"/>
          <w:sz w:val="24"/>
        </w:rPr>
        <w:t>Guilherme Ramon Santos Camargo</w:t>
      </w:r>
    </w:p>
    <w:p>
      <w:pPr>
        <w:jc w:val="center"/>
      </w:pPr>
      <w:r>
        <w:rPr>
          <w:rFonts w:ascii="Times New Roman" w:hAnsi="Times New Roman"/>
          <w:sz w:val="24"/>
        </w:rPr>
        <w:t>Bruno Roberto Muniz Cabral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sz w:val="24"/>
        </w:rPr>
        <w:t>São Paulo</w:t>
      </w:r>
    </w:p>
    <w:p>
      <w:pPr>
        <w:jc w:val="center"/>
      </w:pPr>
      <w:r>
        <w:rPr>
          <w:rFonts w:ascii="Times New Roman" w:hAnsi="Times New Roman"/>
          <w:sz w:val="24"/>
        </w:rPr>
        <w:t>2026</w:t>
      </w:r>
    </w:p>
    <w:p>
      <w:pPr>
        <w:sectPr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spacing w:after="240" w:line="240" w:lineRule="auto"/>
      </w:pPr>
      <w:r>
        <w:rPr>
          <w:rFonts w:ascii="Times New Roman" w:hAnsi="Times New Roman"/>
          <w:b/>
          <w:sz w:val="26"/>
        </w:rPr>
        <w:t>SUMÁRIO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fldChar w:fldCharType="begin"/>
        <w:instrText xml:space="preserve">TOC \o "1-2" \h \z \u</w:instrText>
        <w:fldChar w:fldCharType="separate"/>
        <w:t>Sumário gerado automaticamente ao abrir/salvar este documento no Word (Referências &gt; Atualizar Sumário).</w:t>
        <w:fldChar w:fldCharType="end"/>
      </w:r>
    </w:p>
    <w:p>
      <w:r>
        <w:br w:type="page"/>
      </w:r>
    </w:p>
    <w:p>
      <w:pPr>
        <w:pStyle w:val="Heading1"/>
        <w:keepNext/>
        <w:spacing w:before="480" w:after="240" w:line="240" w:lineRule="auto"/>
      </w:pPr>
      <w:r>
        <w:rPr>
          <w:rFonts w:ascii="Times New Roman" w:hAnsi="Times New Roman"/>
          <w:b/>
          <w:color w:val="000000"/>
          <w:sz w:val="26"/>
        </w:rPr>
        <w:t>1 INTRODUÇÃO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Este documento é o roteiro de apoio à apresentação oral do projeto InformalidadeBR, desenvolvido para a disciplina de Engenharia de Dados da Pós-Graduação da Universidade Presbiteriana Mackenzie. O objetivo não é um script decorado palavra por palavra, e sim um guia de conteúdo e de tempo: o que dizer em cada slide, quanto tempo isso deve ocupar, e como conectar uma etapa à próxima sem que a apresentação vire uma lista de tarefas técnicas.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fio condutor é uma história de negócio guiada por dados, não uma sequência de "primeiro fizemos a coleta, depois o pré-processamento, depois a análise exploratória". A estrutura segue, em vez disso, o movimento: tínhamos um problema → buscamos dados → tratamos e entendemos os dados → construímos uma solução → avaliamos os resultados → geramos valor.</w:t>
      </w:r>
    </w:p>
    <w:p>
      <w:pPr>
        <w:pStyle w:val="Heading1"/>
        <w:keepNext/>
        <w:spacing w:before="480" w:after="240" w:line="240" w:lineRule="auto"/>
      </w:pPr>
      <w:r>
        <w:rPr>
          <w:rFonts w:ascii="Times New Roman" w:hAnsi="Times New Roman"/>
          <w:b/>
          <w:color w:val="000000"/>
          <w:sz w:val="26"/>
        </w:rPr>
        <w:t>2 FORMATO DA APRESENTAÇÃO E DIVISÃO DE TEMPO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apresentação ocorre na Sala Mack Graphe, com 10 minutos de exposição por grupo, seguidos de 10 minutos de perguntas e respostas. O deck (InformalidadeBR - Apresentacao.pptx) tem 12 slides, organizados em quatro blocos de tempo: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Bloco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Slides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Tempo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1. Introdução e problema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1 – 3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2 min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2. Dados e preparação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4 – 6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3 min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3. Modelagem e solução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7 – 9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3 min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4. Resultados e conclusão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10 – 12</w:t>
            </w:r>
          </w:p>
        </w:tc>
        <w:tc>
          <w:tcPr>
            <w:tcW w:type="dxa" w:w="3024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2 min</w:t>
            </w:r>
          </w:p>
        </w:tc>
      </w:tr>
    </w:tbl>
    <w:p/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divisão entre os três integrantes (quem fala qual bloco) fica a critério do grupo. Este roteiro traz o conteúdo completo da fala, não a atribuição por pessoa.</w:t>
      </w:r>
    </w:p>
    <w:p>
      <w:pPr>
        <w:spacing w:line="240" w:lineRule="auto" w:before="0" w:after="200"/>
        <w:jc w:val="both"/>
      </w:pPr>
      <w:r>
        <w:rPr>
          <w:rFonts w:ascii="Times New Roman" w:hAnsi="Times New Roman"/>
          <w:b w:val="0"/>
          <w:i/>
          <w:color w:val="555555"/>
          <w:sz w:val="22"/>
        </w:rPr>
        <w:t>Dica de ensaio: cada bloco tem uma margem apertada. Ensaiar com cronômetro por bloco, não só a apresentação inteira, ajuda a notar onde o tempo está sendo perdido.</w:t>
      </w:r>
    </w:p>
    <w:p>
      <w:r>
        <w:br w:type="page"/>
      </w:r>
    </w:p>
    <w:p>
      <w:pPr>
        <w:pStyle w:val="Heading1"/>
        <w:keepNext/>
        <w:spacing w:before="480" w:after="240" w:line="240" w:lineRule="auto"/>
      </w:pPr>
      <w:r>
        <w:rPr>
          <w:rFonts w:ascii="Times New Roman" w:hAnsi="Times New Roman"/>
          <w:b/>
          <w:color w:val="000000"/>
          <w:sz w:val="26"/>
        </w:rPr>
        <w:t>3 ROTEIRO DA FALA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seguir, o conteúdo falado para cada um dos 12 slides, organizado nos quatro blocos de tempo. O texto é uma referência de conteúdo e tom, não precisa ser reproduzido literalmente, mas cada bloco cobre exatamente o que o slide correspondente mostra, para que fala e imagem nunca se desconectem.</w:t>
      </w:r>
    </w:p>
    <w:p>
      <w:pPr>
        <w:pStyle w:val="Heading2"/>
        <w:keepNext/>
        <w:spacing w:before="320" w:after="160" w:line="240" w:lineRule="auto"/>
      </w:pPr>
      <w:r>
        <w:rPr>
          <w:rFonts w:ascii="Times New Roman" w:hAnsi="Times New Roman"/>
          <w:b/>
          <w:color w:val="000000"/>
          <w:sz w:val="24"/>
        </w:rPr>
        <w:t>3.1 Bloco 1: Introdução e problema (2 min)</w:t>
      </w:r>
    </w:p>
    <w:p>
      <w:pPr>
        <w:keepNext/>
        <w:spacing w:before="280" w:after="80" w:line="240" w:lineRule="auto"/>
      </w:pPr>
      <w:r>
        <w:rPr>
          <w:rFonts w:ascii="Times New Roman" w:hAnsi="Times New Roman"/>
          <w:b/>
          <w:color w:val="B50020"/>
          <w:sz w:val="23"/>
        </w:rPr>
        <w:t>SLIDE 01 · ABERTURA</w:t>
      </w:r>
      <w:r>
        <w:rPr>
          <w:rFonts w:ascii="Times New Roman" w:hAnsi="Times New Roman"/>
          <w:i/>
          <w:sz w:val="22"/>
        </w:rPr>
        <w:t xml:space="preserve">   (~30 s)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Boa tarde a todos. Nosso projeto se chama InformalidadeBR e parte de uma pergunta simples de fazer e difícil de responder: dá para prever, a partir de dados públicos, se um trabalhador brasileiro está na informalidade? Somos Jefferson Lopes, Guilherme Camargo e Bruno Cabral, e vamos contar como saímos de uma pergunta até um modelo capaz de responder isso com mais de 90% de capacidade de separar quem está e quem não está na informalidade.</w:t>
      </w:r>
    </w:p>
    <w:p>
      <w:pPr>
        <w:keepNext/>
        <w:spacing w:before="280" w:after="80" w:line="240" w:lineRule="auto"/>
      </w:pPr>
      <w:r>
        <w:rPr>
          <w:rFonts w:ascii="Times New Roman" w:hAnsi="Times New Roman"/>
          <w:b/>
          <w:color w:val="B50020"/>
          <w:sz w:val="23"/>
        </w:rPr>
        <w:t>SLIDE 02 · O PROBLEMA</w:t>
      </w:r>
      <w:r>
        <w:rPr>
          <w:rFonts w:ascii="Times New Roman" w:hAnsi="Times New Roman"/>
          <w:i/>
          <w:sz w:val="22"/>
        </w:rPr>
        <w:t xml:space="preserve">   (~50 s)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Começamos pelo problema, porque é ele que justifica tudo o que vem depois. Na PNAD Contínua de 2023 a 2025, olhando 2,52 milhões de trabalhadores ocupados, 47,6% estão na informalidade: sem carteira assinada, sem CNPJ, sem contribuição ao INSS. Isso não é uma minoria marginal: é quase metade do mercado de trabalho brasileiro. E o custo disso é concreto, sem acesso a crédito, sem proteção trabalhista, sem previdência. E o mais importante para o nosso projeto: essa informalidade não se distribui ao acaso. Ela se concentra por setor, por região, por gênero, por raça. Um problema desse tamanho, com esse padrão, é exatamente o tipo de problema que dado consegue enxergar.</w:t>
      </w:r>
    </w:p>
    <w:p>
      <w:pPr>
        <w:keepNext/>
        <w:spacing w:before="280" w:after="80" w:line="240" w:lineRule="auto"/>
      </w:pPr>
      <w:r>
        <w:rPr>
          <w:rFonts w:ascii="Times New Roman" w:hAnsi="Times New Roman"/>
          <w:b/>
          <w:color w:val="B50020"/>
          <w:sz w:val="23"/>
        </w:rPr>
        <w:t>SLIDE 03 · OBJETIVO DO PROJETO</w:t>
      </w:r>
      <w:r>
        <w:rPr>
          <w:rFonts w:ascii="Times New Roman" w:hAnsi="Times New Roman"/>
          <w:i/>
          <w:sz w:val="22"/>
        </w:rPr>
        <w:t xml:space="preserve">   (~40 s)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Isso nos levou a uma pergunta central: dá para prever quem está na informalidade e enxergar quem ela mais afeta? A partir dela, definimos três objetivos. Primeiro, prever a condição de informalidade a partir de características observáveis do trabalhador. Segundo, explicar quais fatores mais pesam nessa condição, não só prever, mas entender o porquê. E terceiro, medir se o modelo trata todos os grupos de forma equilibrada, porque um modelo que erra mais para um grupo específico reproduz a própria desigualdade que estamos tentando entender.</w:t>
      </w:r>
    </w:p>
    <w:p>
      <w:pPr>
        <w:pStyle w:val="Heading2"/>
        <w:keepNext/>
        <w:spacing w:before="320" w:after="160" w:line="240" w:lineRule="auto"/>
      </w:pPr>
      <w:r>
        <w:rPr>
          <w:rFonts w:ascii="Times New Roman" w:hAnsi="Times New Roman"/>
          <w:b/>
          <w:color w:val="000000"/>
          <w:sz w:val="24"/>
        </w:rPr>
        <w:t>3.2 Bloco 2: Dados e preparação (3 min)</w:t>
      </w:r>
    </w:p>
    <w:p>
      <w:pPr>
        <w:keepNext/>
        <w:spacing w:before="280" w:after="80" w:line="240" w:lineRule="auto"/>
      </w:pPr>
      <w:r>
        <w:rPr>
          <w:rFonts w:ascii="Times New Roman" w:hAnsi="Times New Roman"/>
          <w:b/>
          <w:color w:val="B50020"/>
          <w:sz w:val="23"/>
        </w:rPr>
        <w:t>SLIDE 04 · OS DADOS</w:t>
      </w:r>
      <w:r>
        <w:rPr>
          <w:rFonts w:ascii="Times New Roman" w:hAnsi="Times New Roman"/>
          <w:i/>
          <w:sz w:val="22"/>
        </w:rPr>
        <w:t xml:space="preserve">   (~60 s)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Para responder isso, buscamos a fonte mais robusta disponível: a PNAD Contínua, a maior pesquisa domiciliar do Brasil, direto do IBGE. Usamos 12 trimestres, de 2023 a 2025, cerca de 500 mil registros por trimestre. Das quase 420 variáveis disponíveis, selecionamos 22 por relevância direta ao problema. Evitamos "pegar tudo" só porque estava disponível. É uma fonte pública única, mas isso não significa dado bruto confiável por padrão: cada período baixado passa por retentativa automática e é validado por um manifesto com checksum e contagem de linhas, para detectar corrupção ou incompletude antes de qualquer análise.</w:t>
      </w:r>
    </w:p>
    <w:p>
      <w:pPr>
        <w:keepNext/>
        <w:spacing w:before="280" w:after="80" w:line="240" w:lineRule="auto"/>
      </w:pPr>
      <w:r>
        <w:rPr>
          <w:rFonts w:ascii="Times New Roman" w:hAnsi="Times New Roman"/>
          <w:b/>
          <w:color w:val="B50020"/>
          <w:sz w:val="23"/>
        </w:rPr>
        <w:t>SLIDE 05 · PRÉ-PROCESSAMENTO</w:t>
      </w:r>
      <w:r>
        <w:rPr>
          <w:rFonts w:ascii="Times New Roman" w:hAnsi="Times New Roman"/>
          <w:i/>
          <w:sz w:val="22"/>
        </w:rPr>
        <w:t xml:space="preserve">   (~60 s)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Dado bruto não é dado utilizável. Organizamos o pipeline em três camadas. A camada Bronze guarda os microdados exatamente como o IBGE publica, sem nenhuma transformação: é o nosso registro de verdade. A camada Silver decodifica os códigos em categorias legíveis, trata valores nulos e consolida os 12 trimestres em 5.748.375 linhas, e aqui vale destacar que zero linhas foram perdidas nessa reconciliação, o que validamos formalmente. A camada Gold aplica um único filtro, manter só quem está ocupado, e isso já derruba a base de 5,7 milhões para 2.522.338 pessoas: 43,9% do total. Não é perda de qualidade, é escopo: para quem não está ocupado, "informalidade" nem é um conceito que se aplica.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 o que conta como informal, exatamente? Não é intuição nossa: seguimos a mesma regra que o IBGE usa em estudos oficiais, baseada na posição na ocupação. Sem carteira assinada, no setor privado, doméstico ou público; trabalhador familiar sem remuneração; ou empregador e conta-própria sem CNPJ. Aplicando essa regra sobre os 2.522.338 ocupados, chegamos aos 47,6% de informalidade que abriram esta apresentação.</w:t>
      </w:r>
    </w:p>
    <w:p>
      <w:pPr>
        <w:keepNext/>
        <w:spacing w:before="280" w:after="80" w:line="240" w:lineRule="auto"/>
      </w:pPr>
      <w:r>
        <w:rPr>
          <w:rFonts w:ascii="Times New Roman" w:hAnsi="Times New Roman"/>
          <w:b/>
          <w:color w:val="B50020"/>
          <w:sz w:val="23"/>
        </w:rPr>
        <w:t>SLIDE 06 · ANÁLISE EXPLORATÓRIA</w:t>
      </w:r>
      <w:r>
        <w:rPr>
          <w:rFonts w:ascii="Times New Roman" w:hAnsi="Times New Roman"/>
          <w:i/>
          <w:sz w:val="22"/>
        </w:rPr>
        <w:t xml:space="preserve">   (~60 s)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Antes de treinar qualquer modelo, deixamos os dados falarem. Medimos a força de associação de cada variável candidata com a informalidade, V de Cramér para categóricas, correlação ponto-bisserial para numéricas. E dois achados lideraram claramente: tamanho do negócio, com associação de 0,570, e ter vínculo temporário, com 0,460. Setor de atividade, grupamento ocupacional e nível de instrução vêm na sequência. Esses números guiaram diretamente a escolha das features e, como vamos ver a seguir, também a escolha do algoritmo.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Mas o boletim de análise exploratória mostra mais que correlação: mostra quem é esse trabalhador. Entre os informais, 53% não concluíram o ensino médio, contra 25% entre os formais. 35% moram no Nordeste, contra 20% entre os formais. E a renda mediana é 42% menor: 1.400 reais contra 2.400 reais. Esses três números não entraram no modelo como feature, renda é consequência da informalidade, não causa, mas ajudam a enxergar o perfil por trás da estatística.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Essa escolha de variáveis foi, sem dúvida, a decisão mais difícil do projeto, em duas etapas. Primeiro, no pré-processamento: das quase 420 variáveis da PNAD, selecionamos 22 por relevância direta ao problema, para não carregar ruído para a Silver. Depois, na modelagem: dessas 22, 15 seguiram como feature. Duas delas, sexo e raça, entraram não pela força estatística, que é baixa, mas porque expor desigualdade nesses dois eixos é um objetivo declarado do projeto, não um efeito colateral.</w:t>
      </w:r>
    </w:p>
    <w:p>
      <w:pPr>
        <w:pStyle w:val="Heading2"/>
        <w:keepNext/>
        <w:spacing w:before="320" w:after="160" w:line="240" w:lineRule="auto"/>
      </w:pPr>
      <w:r>
        <w:rPr>
          <w:rFonts w:ascii="Times New Roman" w:hAnsi="Times New Roman"/>
          <w:b/>
          <w:color w:val="000000"/>
          <w:sz w:val="24"/>
        </w:rPr>
        <w:t>3.3 Bloco 3: Modelagem e solução (3 min)</w:t>
      </w:r>
    </w:p>
    <w:p>
      <w:pPr>
        <w:keepNext/>
        <w:spacing w:before="280" w:after="80" w:line="240" w:lineRule="auto"/>
      </w:pPr>
      <w:r>
        <w:rPr>
          <w:rFonts w:ascii="Times New Roman" w:hAnsi="Times New Roman"/>
          <w:b/>
          <w:color w:val="B50020"/>
          <w:sz w:val="23"/>
        </w:rPr>
        <w:t>SLIDE 07 · A SOLUÇÃO</w:t>
      </w:r>
      <w:r>
        <w:rPr>
          <w:rFonts w:ascii="Times New Roman" w:hAnsi="Times New Roman"/>
          <w:i/>
          <w:sz w:val="22"/>
        </w:rPr>
        <w:t xml:space="preserve">   (~55 s)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Este slide resume, em uma arquitetura só, tudo que acabamos de mostrar e o que vem a seguir: os dados saem do IBGE, passam pelo pipeline em Python pelas três camadas — Bronze, Silver, Gold —, seguem para a análise exploratória, e chegam ao modelo e aos resultados. Cada etapa é uma classe própria, orientada a uma interface comum, executável isoladamente ou em cadeia. Usamos pandas para manipulação de dados, scikit-learn para os modelos, e SHAP para interpretabilidade. Claude Code e o framework AIOX entraram só como auxiliares no desenvolvimento; toda decisão do projeto foi nossa.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 é exatamente essa etapa em destaque vermelho, o modelo, que os próximos três slides vão destrinchar: como ele foi construído, avaliado e interpretado.</w:t>
      </w:r>
    </w:p>
    <w:p>
      <w:pPr>
        <w:keepNext/>
        <w:spacing w:before="280" w:after="80" w:line="240" w:lineRule="auto"/>
      </w:pPr>
      <w:r>
        <w:rPr>
          <w:rFonts w:ascii="Times New Roman" w:hAnsi="Times New Roman"/>
          <w:b/>
          <w:color w:val="B50020"/>
          <w:sz w:val="23"/>
        </w:rPr>
        <w:t>SLIDE 08 · CONSTRUÇÃO DO MODELO</w:t>
      </w:r>
      <w:r>
        <w:rPr>
          <w:rFonts w:ascii="Times New Roman" w:hAnsi="Times New Roman"/>
          <w:i/>
          <w:sz w:val="22"/>
        </w:rPr>
        <w:t xml:space="preserve">   (~70 s)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Para a predição em si, treinamos três modelos. Regressão Logística, como baseline interpretável: se um modelo bem mais complexo não superasse essa baseline por uma margem clara, não valeria a pena perder interpretabilidade. Random Forest, robusto, com o custo computacional controlado para não estourar memória em milhões de linhas. E HistGradientBoosting, escolhido porque lida nativamente com variável categórica e com valor nulo, e não é coincidência: as duas features mais fortes que vimos na análise exploratória têm 20% e 40% de valores nulos. Um ponto que não abrimos mão em nenhum dos três modelos: o split é temporal, não aleatório. Treinamos com 2023 e 2024, testamos só com 2025. A PNAD é um painel rotativo, a mesma pessoa aparece em trimestres seguidos, então um split aleatório vazaria a mesma pessoa entre treino e teste e inflaria os resultados de forma artificial.</w:t>
      </w:r>
    </w:p>
    <w:p>
      <w:pPr>
        <w:keepNext/>
        <w:spacing w:before="280" w:after="80" w:line="240" w:lineRule="auto"/>
      </w:pPr>
      <w:r>
        <w:rPr>
          <w:rFonts w:ascii="Times New Roman" w:hAnsi="Times New Roman"/>
          <w:b/>
          <w:color w:val="B50020"/>
          <w:sz w:val="23"/>
        </w:rPr>
        <w:t>SLIDE 09 · O QUE O MODELO APRENDEU (INTERPRETABILIDADE E EQUIDADE)</w:t>
      </w:r>
      <w:r>
        <w:rPr>
          <w:rFonts w:ascii="Times New Roman" w:hAnsi="Times New Roman"/>
          <w:i/>
          <w:sz w:val="22"/>
        </w:rPr>
        <w:t xml:space="preserve">   (~60 s)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Um modelo que não conseguimos explicar não serve para um problema social como este. Usamos SHAP para abrir a caixa do modelo campeão, e os fatores que mais pesaram na decisão foram exatamente os mesmos que a análise exploratória já apontava: vínculo temporário e tamanho do negócio na frente, seguidos de horas semanais. Isso é uma validação cruzada informal: o modelo aprendeu o mesmo padrão que os dados já mostravam antes de qualquer treino. Mas essa mesma análise expôs algo que não estava óbvio de início: o recall para o grupo "Amarelos" caiu de 84% geral para 72%, uma diferença de 12 pontos percentuais, com uma amostra de mais de 4 mil pessoas, então não é ruído estatístico. Registramos isso como um sinal de atenção real no nosso Model Card. Não é motivo para descartar o modelo, mas é exatamente o tipo de coisa que só aparece quando você olha além da métrica geral.</w:t>
      </w:r>
    </w:p>
    <w:p>
      <w:pPr>
        <w:pStyle w:val="Heading2"/>
        <w:keepNext/>
        <w:spacing w:before="320" w:after="160" w:line="240" w:lineRule="auto"/>
      </w:pPr>
      <w:r>
        <w:rPr>
          <w:rFonts w:ascii="Times New Roman" w:hAnsi="Times New Roman"/>
          <w:b/>
          <w:color w:val="000000"/>
          <w:sz w:val="24"/>
        </w:rPr>
        <w:t>3.4 Bloco 4: Resultados e conclusão (2 min)</w:t>
      </w:r>
    </w:p>
    <w:p>
      <w:pPr>
        <w:keepNext/>
        <w:spacing w:before="280" w:after="80" w:line="240" w:lineRule="auto"/>
      </w:pPr>
      <w:r>
        <w:rPr>
          <w:rFonts w:ascii="Times New Roman" w:hAnsi="Times New Roman"/>
          <w:b/>
          <w:color w:val="B50020"/>
          <w:sz w:val="23"/>
        </w:rPr>
        <w:t>SLIDE 10 · RESULTADOS OBTIDOS</w:t>
      </w:r>
      <w:r>
        <w:rPr>
          <w:rFonts w:ascii="Times New Roman" w:hAnsi="Times New Roman"/>
          <w:i/>
          <w:sz w:val="22"/>
        </w:rPr>
        <w:t xml:space="preserve">   (~50 s)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Este é o slide mais importante da nossa apresentação: a tabela completa dos três modelos, a mesma que está no boletim de modelagem. AUC-ROC é a métrica que mais importa aqui: numa escala de 0 a 1, ela mede a chance de o modelo dar uma nota de risco maior a um trabalhador informal do que a um formal, sorteando um aleatoriamente de cada. 0,5 é chute puro, 1,0 é perfeito. No ano de 2025, que nenhum dos três modelos viu durante o treino, o HistGradientBoosting atingiu 92,6% de AUC-ROC, acurácia de 84,7%, precisão de 83,8%, recall de 83,6%. Traduzindo para o negócio: de cada 100 trabalhadores informais reais no teste, o modelo identifica corretamente 84, com a mesma performance em treino e em teste, sem overfitting relevante.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 a última coluna da tabela é a que menos aparece nesse tipo de apresentação, mas que pesou de verdade na nossa decisão: tempo de treino. O HistGradientBoosting não é só o mais preciso, é também o mais rápido dos dois modelos fortes: 3 minutos contra 36 minutos do Random Forest. Doze vezes mais lento por um ganho de apenas 0,9 ponto de AUC. Isso importa porque tempo de treino é custo de engenharia: quanto mais rápido, mais vezes dá para retreinar, ajustar hiperparâmetro e comparar. Se interpretabilidade importar mais que esse último ponto percentual de desempenho, o Random Forest segue como alternativa real; mas em precisão e em velocidade, o HistGradientBoosting venceu nos dois eixos.</w:t>
      </w:r>
    </w:p>
    <w:p>
      <w:pPr>
        <w:keepNext/>
        <w:spacing w:before="280" w:after="80" w:line="240" w:lineRule="auto"/>
      </w:pPr>
      <w:r>
        <w:rPr>
          <w:rFonts w:ascii="Times New Roman" w:hAnsi="Times New Roman"/>
          <w:b/>
          <w:color w:val="B50020"/>
          <w:sz w:val="23"/>
        </w:rPr>
        <w:t>SLIDE 11 · CONCLUSÃO GERAL</w:t>
      </w:r>
      <w:r>
        <w:rPr>
          <w:rFonts w:ascii="Times New Roman" w:hAnsi="Times New Roman"/>
          <w:i/>
          <w:sz w:val="22"/>
        </w:rPr>
        <w:t xml:space="preserve">   (~50 s)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Para fechar, voltamos ao tema. A informalidade não é um detalhe estatístico: é quase metade do mercado de trabalho brasileiro, distribuída de forma desigual entre região, setor e cor. Foi esse padrão que motivou todo o projeto, do início ao fim.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parte mais difícil do projeto não foi treinar o modelo: foi decidir quais das 420 variáveis podiam entrar sem colar a resposta. E o modelo, ao ser interpretável, expôs uma desigualdade real — o recall 12 pontos menor no grupo Amarelos — que um modelo caixa-preta teria escondido.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 voltando ao objetivo que apresentamos lá no início: prever, explicar, medir equidade. Os três foram atingidos. Prever: sim, AUC de 0,93 no ano que o modelo nunca viu. Explicar: sim, o SHAP confirmou os mesmos fatores que a análise exploratória já apontava. Medir equidade: sim — e o resultado foi desconfortável, mas é exatamente esse tipo de coisa que só aparece quando se mede de verdade.</w:t>
      </w:r>
    </w:p>
    <w:p>
      <w:pPr>
        <w:keepNext/>
        <w:spacing w:before="280" w:after="80" w:line="240" w:lineRule="auto"/>
      </w:pPr>
      <w:r>
        <w:rPr>
          <w:rFonts w:ascii="Times New Roman" w:hAnsi="Times New Roman"/>
          <w:b/>
          <w:color w:val="B50020"/>
          <w:sz w:val="23"/>
        </w:rPr>
        <w:t>SLIDE 12 · ENCERRAMENTO</w:t>
      </w:r>
      <w:r>
        <w:rPr>
          <w:rFonts w:ascii="Times New Roman" w:hAnsi="Times New Roman"/>
          <w:i/>
          <w:sz w:val="22"/>
        </w:rPr>
        <w:t xml:space="preserve">   (~10 s)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Muito obrigado. Ficamos à disposição para perguntas.</w:t>
      </w:r>
    </w:p>
    <w:p>
      <w:r>
        <w:br w:type="page"/>
      </w:r>
    </w:p>
    <w:p>
      <w:pPr>
        <w:pStyle w:val="Heading1"/>
        <w:keepNext/>
        <w:spacing w:before="480" w:after="240" w:line="240" w:lineRule="auto"/>
      </w:pPr>
      <w:r>
        <w:rPr>
          <w:rFonts w:ascii="Times New Roman" w:hAnsi="Times New Roman"/>
          <w:b/>
          <w:color w:val="000000"/>
          <w:sz w:val="26"/>
        </w:rPr>
        <w:t>4 PERGUNTAS E RESPOSTAS ANTECIPADAS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Os 10 minutos de perguntas e respostas costumam mirar exatamente nos pontos que a apresentação resume em uma frase. As perguntas abaixo foram antecipadas a partir das decisões técnicas documentadas no projeto. A resposta de cada uma já existe na documentação, não precisa ser inventada na hora.</w:t>
      </w:r>
    </w:p>
    <w:p>
      <w:pPr>
        <w:spacing w:before="200" w:after="40" w:line="360" w:lineRule="auto"/>
      </w:pPr>
      <w:r>
        <w:rPr>
          <w:rFonts w:ascii="Times New Roman" w:hAnsi="Times New Roman"/>
          <w:b/>
          <w:sz w:val="24"/>
        </w:rPr>
        <w:t xml:space="preserve">P: </w:t>
      </w:r>
      <w:r>
        <w:rPr>
          <w:rFonts w:ascii="Times New Roman" w:hAnsi="Times New Roman"/>
          <w:i/>
          <w:sz w:val="24"/>
        </w:rPr>
        <w:t>Por que renda não foi usada como variável preditiva, já que é um indicador óbvio de informalidade?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/>
          <w:sz w:val="24"/>
        </w:rPr>
        <w:t xml:space="preserve">R: </w:t>
      </w:r>
      <w:r>
        <w:rPr>
          <w:rFonts w:ascii="Times New Roman" w:hAnsi="Times New Roman"/>
          <w:sz w:val="24"/>
        </w:rPr>
        <w:t>Porque é vazamento circular: renda está fortemente correlacionada com a própria condição de informalidade, então usá-la como feature infla a métrica artificialmente e destrói a interpretabilidade que o projeto se propõe a entregar. Ela foi mantida apenas para um gráfico de apoio na análise exploratória (gap salarial entre formal e informal), nunca como entrada do classificador.</w:t>
      </w:r>
    </w:p>
    <w:p>
      <w:pPr>
        <w:spacing w:before="200" w:after="40" w:line="360" w:lineRule="auto"/>
      </w:pPr>
      <w:r>
        <w:rPr>
          <w:rFonts w:ascii="Times New Roman" w:hAnsi="Times New Roman"/>
          <w:b/>
          <w:sz w:val="24"/>
        </w:rPr>
        <w:t xml:space="preserve">P: </w:t>
      </w:r>
      <w:r>
        <w:rPr>
          <w:rFonts w:ascii="Times New Roman" w:hAnsi="Times New Roman"/>
          <w:i/>
          <w:sz w:val="24"/>
        </w:rPr>
        <w:t>Por que HistGradientBoosting e não XGBoost ou LightGBM, que são mais populares?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/>
          <w:sz w:val="24"/>
        </w:rPr>
        <w:t xml:space="preserve">R: </w:t>
      </w:r>
      <w:r>
        <w:rPr>
          <w:rFonts w:ascii="Times New Roman" w:hAnsi="Times New Roman"/>
          <w:sz w:val="24"/>
        </w:rPr>
        <w:t>Decisão consciente de não adicionar uma dependência nova ao projeto sem necessidade comprovada. O HistGradientBoosting do próprio scikit-learn já resolve os dois problemas concretos que tínhamos: suporte nativo a variável categórica de alta cardinalidade (UF, setor) e a valor nulo nas duas features mais fortes. XGBoost e LightGBM ficam como upgrade futuro possível, não descartados por mérito técnico.</w:t>
      </w:r>
    </w:p>
    <w:p>
      <w:pPr>
        <w:spacing w:before="200" w:after="40" w:line="360" w:lineRule="auto"/>
      </w:pPr>
      <w:r>
        <w:rPr>
          <w:rFonts w:ascii="Times New Roman" w:hAnsi="Times New Roman"/>
          <w:b/>
          <w:sz w:val="24"/>
        </w:rPr>
        <w:t xml:space="preserve">P: </w:t>
      </w:r>
      <w:r>
        <w:rPr>
          <w:rFonts w:ascii="Times New Roman" w:hAnsi="Times New Roman"/>
          <w:i/>
          <w:sz w:val="24"/>
        </w:rPr>
        <w:t>Como garantiram que não houve vazamento de dado (data leakage) entre a definição do alvo e as features usadas para prevê-lo?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/>
          <w:sz w:val="24"/>
        </w:rPr>
        <w:t xml:space="preserve">R: </w:t>
      </w:r>
      <w:r>
        <w:rPr>
          <w:rFonts w:ascii="Times New Roman" w:hAnsi="Times New Roman"/>
          <w:sz w:val="24"/>
        </w:rPr>
        <w:t>As variáveis usadas para construir a própria variável-alvo `informal` na camada Gold, como VD4009, V4019, VD4012 e VD4002, foram explicitamente excluídas da lista de features. Incluí-las faria o modelo aprender a copiar a definição do alvo, não a prever a partir de características reais do trabalhador.</w:t>
      </w:r>
    </w:p>
    <w:p>
      <w:pPr>
        <w:spacing w:before="200" w:after="40" w:line="360" w:lineRule="auto"/>
      </w:pPr>
      <w:r>
        <w:rPr>
          <w:rFonts w:ascii="Times New Roman" w:hAnsi="Times New Roman"/>
          <w:b/>
          <w:sz w:val="24"/>
        </w:rPr>
        <w:t xml:space="preserve">P: </w:t>
      </w:r>
      <w:r>
        <w:rPr>
          <w:rFonts w:ascii="Times New Roman" w:hAnsi="Times New Roman"/>
          <w:i/>
          <w:sz w:val="24"/>
        </w:rPr>
        <w:t>O que explica a queda de recall no grupo "Amarelos"?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/>
          <w:sz w:val="24"/>
        </w:rPr>
        <w:t xml:space="preserve">R: </w:t>
      </w:r>
      <w:r>
        <w:rPr>
          <w:rFonts w:ascii="Times New Roman" w:hAnsi="Times New Roman"/>
          <w:sz w:val="24"/>
        </w:rPr>
        <w:t>Ainda não temos uma causa raiz confirmada. É um achado do diagnóstico automático, não uma conclusão fechada. As hipóteses mais prováveis são menor representatividade do grupo na amostra de treino e possível diferença na distribuição das features mais fortes (tamanho do negócio, vínculo temporário) dentro desse grupo. É por isso que virou explicitamente um próximo passo: investigar antes de propor uma correção.</w:t>
      </w:r>
    </w:p>
    <w:p>
      <w:pPr>
        <w:spacing w:before="200" w:after="40" w:line="360" w:lineRule="auto"/>
      </w:pPr>
      <w:r>
        <w:rPr>
          <w:rFonts w:ascii="Times New Roman" w:hAnsi="Times New Roman"/>
          <w:b/>
          <w:sz w:val="24"/>
        </w:rPr>
        <w:t xml:space="preserve">P: </w:t>
      </w:r>
      <w:r>
        <w:rPr>
          <w:rFonts w:ascii="Times New Roman" w:hAnsi="Times New Roman"/>
          <w:i/>
          <w:sz w:val="24"/>
        </w:rPr>
        <w:t>Os dados são representativos da população brasileira?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/>
          <w:sz w:val="24"/>
        </w:rPr>
        <w:t xml:space="preserve">R: </w:t>
      </w:r>
      <w:r>
        <w:rPr>
          <w:rFonts w:ascii="Times New Roman" w:hAnsi="Times New Roman"/>
          <w:sz w:val="24"/>
        </w:rPr>
        <w:t>A PNAD Contínua é uma amostra complexa, estratificada, por conglomerados, não uma amostra aleatória simples. Estatísticas descritivas exigem ponderação pelo peso amostral (V1028) para representar a população corretamente. Nosso projeto ainda não incorpora esse peso na avaliação do modelo; é uma limitação conhecida e registrada como próximo passo.</w:t>
      </w:r>
    </w:p>
    <w:p>
      <w:pPr>
        <w:spacing w:before="200" w:after="40" w:line="360" w:lineRule="auto"/>
      </w:pPr>
      <w:r>
        <w:rPr>
          <w:rFonts w:ascii="Times New Roman" w:hAnsi="Times New Roman"/>
          <w:b/>
          <w:sz w:val="24"/>
        </w:rPr>
        <w:t xml:space="preserve">P: </w:t>
      </w:r>
      <w:r>
        <w:rPr>
          <w:rFonts w:ascii="Times New Roman" w:hAnsi="Times New Roman"/>
          <w:i/>
          <w:sz w:val="24"/>
        </w:rPr>
        <w:t>Esse modelo poderia ser usado para decisões automatizadas sobre pessoas específicas?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/>
          <w:sz w:val="24"/>
        </w:rPr>
        <w:t xml:space="preserve">R: </w:t>
      </w:r>
      <w:r>
        <w:rPr>
          <w:rFonts w:ascii="Times New Roman" w:hAnsi="Times New Roman"/>
          <w:sz w:val="24"/>
        </w:rPr>
        <w:t>Não é essa a proposta. Os microdados do IBGE são anonimizados, sem identificação direta, e o objetivo do projeto é diagnóstico agregado: entender fatores e desigualdades estruturais, não rotular ou tomar decisão sobre um indivíduo. A própria análise de equidade por SHAP existe para expor onde o modelo trata grupos de forma diferente, não para justificar uso individual.</w:t>
      </w:r>
    </w:p>
    <w:p>
      <w:pPr>
        <w:spacing w:before="200" w:after="40" w:line="360" w:lineRule="auto"/>
      </w:pPr>
      <w:r>
        <w:rPr>
          <w:rFonts w:ascii="Times New Roman" w:hAnsi="Times New Roman"/>
          <w:b/>
          <w:sz w:val="24"/>
        </w:rPr>
        <w:t xml:space="preserve">P: </w:t>
      </w:r>
      <w:r>
        <w:rPr>
          <w:rFonts w:ascii="Times New Roman" w:hAnsi="Times New Roman"/>
          <w:i/>
          <w:sz w:val="24"/>
        </w:rPr>
        <w:t>Por que 15 features e não todas as variáveis disponíveis?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/>
          <w:sz w:val="24"/>
        </w:rPr>
        <w:t xml:space="preserve">R: </w:t>
      </w:r>
      <w:r>
        <w:rPr>
          <w:rFonts w:ascii="Times New Roman" w:hAnsi="Times New Roman"/>
          <w:sz w:val="24"/>
        </w:rPr>
        <w:t>Cada uma das 15 features tem uma justificativa registrada: força de associação medida na análise exploratória, ou inclusão obrigatória por escopo do projeto (sexo e raça, mesmo com associação individual fraca, porque expor desigualdade nesses eixos é objetivo declarado do RF-06). Variáveis com associação praticamente nula, como frequenta escola, foram excluídas deliberadamente para não introduzir ruído.</w:t>
      </w:r>
    </w:p>
    <w:p>
      <w:pPr>
        <w:spacing w:before="200" w:after="40" w:line="360" w:lineRule="auto"/>
      </w:pPr>
      <w:r>
        <w:rPr>
          <w:rFonts w:ascii="Times New Roman" w:hAnsi="Times New Roman"/>
          <w:b/>
          <w:sz w:val="24"/>
        </w:rPr>
        <w:t xml:space="preserve">P: </w:t>
      </w:r>
      <w:r>
        <w:rPr>
          <w:rFonts w:ascii="Times New Roman" w:hAnsi="Times New Roman"/>
          <w:i/>
          <w:sz w:val="24"/>
        </w:rPr>
        <w:t>Se tivessem mais tempo, qual seria o próximo passo?</w:t>
      </w:r>
    </w:p>
    <w:p>
      <w:pPr>
        <w:spacing w:line="360" w:lineRule="auto" w:after="120"/>
        <w:jc w:val="both"/>
      </w:pPr>
      <w:r>
        <w:rPr>
          <w:rFonts w:ascii="Times New Roman" w:hAnsi="Times New Roman"/>
          <w:b/>
          <w:sz w:val="24"/>
        </w:rPr>
        <w:t xml:space="preserve">R: </w:t>
      </w:r>
      <w:r>
        <w:rPr>
          <w:rFonts w:ascii="Times New Roman" w:hAnsi="Times New Roman"/>
          <w:sz w:val="24"/>
        </w:rPr>
        <w:t>Três, em ordem de prioridade: tratar a disparidade de equidade encontrada (reponderação ou threshold por grupo), incorporar o peso amostral da PNAD na avaliação, e criar um processo de monitoramento contínuo à medida que o IBGE publica novos trimestres. Hoje o pipeline roda sob demanda, não em produção.</w:t>
      </w:r>
    </w:p>
    <w:p>
      <w:r>
        <w:br w:type="page"/>
      </w:r>
    </w:p>
    <w:p>
      <w:pPr>
        <w:pStyle w:val="Heading1"/>
        <w:keepNext/>
        <w:spacing w:before="480" w:after="240" w:line="240" w:lineRule="auto"/>
      </w:pPr>
      <w:r>
        <w:rPr>
          <w:rFonts w:ascii="Times New Roman" w:hAnsi="Times New Roman"/>
          <w:b/>
          <w:color w:val="000000"/>
          <w:sz w:val="26"/>
        </w:rPr>
        <w:t>5 SLIDES DE APOIO (MATERIAL OCULTO)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arquivo InformalidadeBR - Apresentacao.pptx tem 17 slides no total: os 12 numerados acima, que contam a história em 10 minutos, e mais 5 marcados como "ocultos" no PowerPoint. Eles não aparecem ao apertar F5 e avançar normalmente. Para abri-los, basta clicar no círculo preto com "+" que aparece nos slides 5 (dois círculos), 6 (dois círculos) e 10 (um círculo). O clique pula direto para o slide de apoio correspondente, mesmo durante a apresentação. Cada slide de apoio tem um ícone de casinha no canto superior esquerdo, que retorna exatamente para onde a apresentação estava antes do clique. (Alternativa manual, se algum botão falhar: clique direito → Ver Todos os Slides, ou digite o número do slide e Enter.) Servem para aprofundar uma resposta na rodada de perguntas sem atropelar o tempo da apresentação principal.</w:t>
      </w:r>
    </w:p>
    <w:p>
      <w:pPr>
        <w:spacing w:before="200" w:after="40" w:line="240" w:lineRule="auto"/>
      </w:pPr>
      <w:r>
        <w:rPr>
          <w:rFonts w:ascii="Times New Roman" w:hAnsi="Times New Roman"/>
          <w:b/>
          <w:sz w:val="24"/>
        </w:rPr>
        <w:t>Slide 13: O funil completo dos dados</w:t>
      </w:r>
    </w:p>
    <w:p>
      <w:pPr>
        <w:spacing w:line="360" w:lineRule="auto" w:before="0" w:after="80"/>
        <w:jc w:val="both"/>
      </w:pPr>
      <w:r>
        <w:rPr>
          <w:rFonts w:ascii="Times New Roman" w:hAnsi="Times New Roman"/>
          <w:b w:val="0"/>
          <w:i w:val="0"/>
          <w:sz w:val="24"/>
        </w:rPr>
        <w:t>Detalha Bronze (12 arquivos, cerca de 19 GB), Silver (5.748.375 linhas) e Gold (2.522.338 ocupados, 43,9% de retenção), com a composição completa de quem fica de fora (menores de 14, fora da força de trabalho, desocupados) e um achado extra: mulheres são 64% do grupo fora da força de trabalho e 53% dos desocupados buscando emprego, contra 43% entre os ocupados. Puxar se perguntarem sobre volume de dados ou quem fica fora do filtro.</w:t>
      </w:r>
    </w:p>
    <w:p>
      <w:pPr>
        <w:spacing w:before="200" w:after="40" w:line="240" w:lineRule="auto"/>
      </w:pPr>
      <w:r>
        <w:rPr>
          <w:rFonts w:ascii="Times New Roman" w:hAnsi="Times New Roman"/>
          <w:b/>
          <w:sz w:val="24"/>
        </w:rPr>
        <w:t>Slide 14: A regra completa de informalidade</w:t>
      </w:r>
    </w:p>
    <w:p>
      <w:pPr>
        <w:spacing w:line="360" w:lineRule="auto" w:before="0" w:after="80"/>
        <w:jc w:val="both"/>
      </w:pPr>
      <w:r>
        <w:rPr>
          <w:rFonts w:ascii="Times New Roman" w:hAnsi="Times New Roman"/>
          <w:b w:val="0"/>
          <w:i w:val="0"/>
          <w:sz w:val="24"/>
        </w:rPr>
        <w:t>Tabela com as 10 categorias de VD4009 e a classificação formal/informal de cada uma, incluindo o desempate por V4019 (CNPJ) e a alternativa mais simples (VD4012) que foi considerada e descartada. Puxar se perguntarem exatamente como "informal" foi definido.</w:t>
      </w:r>
    </w:p>
    <w:p>
      <w:pPr>
        <w:spacing w:before="200" w:after="40" w:line="240" w:lineRule="auto"/>
      </w:pPr>
      <w:r>
        <w:rPr>
          <w:rFonts w:ascii="Times New Roman" w:hAnsi="Times New Roman"/>
          <w:b/>
          <w:sz w:val="24"/>
        </w:rPr>
        <w:t>Slide 15: Por que essas 15 features</w:t>
      </w:r>
    </w:p>
    <w:p>
      <w:pPr>
        <w:spacing w:line="360" w:lineRule="auto" w:before="0" w:after="80"/>
        <w:jc w:val="both"/>
      </w:pPr>
      <w:r>
        <w:rPr>
          <w:rFonts w:ascii="Times New Roman" w:hAnsi="Times New Roman"/>
          <w:b w:val="0"/>
          <w:i w:val="0"/>
          <w:sz w:val="24"/>
        </w:rPr>
        <w:t>As 15 features com a força de associação de cada uma, mais a lista do que foi excluído e por quê (vazamento de dado, associação quase nula, chaves de deduplicação). Puxar se perguntarem sobre uma variável específica que não apareceu, ou sobre a decisão de features em geral.</w:t>
      </w:r>
    </w:p>
    <w:p>
      <w:pPr>
        <w:spacing w:before="200" w:after="40" w:line="240" w:lineRule="auto"/>
      </w:pPr>
      <w:r>
        <w:rPr>
          <w:rFonts w:ascii="Times New Roman" w:hAnsi="Times New Roman"/>
          <w:b/>
          <w:sz w:val="24"/>
        </w:rPr>
        <w:t>Slide 16: Matrizes de confusão dos 3 modelos</w:t>
      </w:r>
    </w:p>
    <w:p>
      <w:pPr>
        <w:spacing w:line="360" w:lineRule="auto" w:before="0" w:after="80"/>
        <w:jc w:val="both"/>
      </w:pPr>
      <w:r>
        <w:rPr>
          <w:rFonts w:ascii="Times New Roman" w:hAnsi="Times New Roman"/>
          <w:b w:val="0"/>
          <w:i w:val="0"/>
          <w:sz w:val="24"/>
        </w:rPr>
        <w:t>Os números completos de acerto e erro por modelo no teste de 2025 (864.940 pessoas), com destaque para o custo do falso negativo. Puxar se perguntarem sobre onde exatamente o modelo erra.</w:t>
      </w:r>
    </w:p>
    <w:p>
      <w:pPr>
        <w:spacing w:before="200" w:after="40" w:line="240" w:lineRule="auto"/>
      </w:pPr>
      <w:r>
        <w:rPr>
          <w:rFonts w:ascii="Times New Roman" w:hAnsi="Times New Roman"/>
          <w:b/>
          <w:sz w:val="24"/>
        </w:rPr>
        <w:t>Slide 17: Sem instrução e agropecuária concentram a informalidade</w:t>
      </w:r>
    </w:p>
    <w:p>
      <w:pPr>
        <w:spacing w:line="360" w:lineRule="auto" w:before="0" w:after="80"/>
        <w:jc w:val="both"/>
      </w:pPr>
      <w:r>
        <w:rPr>
          <w:rFonts w:ascii="Times New Roman" w:hAnsi="Times New Roman"/>
          <w:b w:val="0"/>
          <w:i w:val="0"/>
          <w:sz w:val="24"/>
        </w:rPr>
        <w:t>Um único ranking (escolaridade e setor combinados, escala logarítmica) mostrando quantas vezes cada categoria é mais comum num grupo do que no outro. Só os 3 casos mais extremos ganham cor (vermelho: sem instrução 5x, agropecuária 4x; preto: superior completo 0,4x) — o resto fica cinza, sem competir por atenção. Mais a comparação de renda mediana (42% menor entre informais). Puxar se pedirem para ver os gráficos da EDA além do ranking de força das features.</w:t>
      </w:r>
    </w:p>
    <w:p>
      <w:r>
        <w:br w:type="page"/>
      </w:r>
    </w:p>
    <w:p>
      <w:pPr>
        <w:pStyle w:val="Heading1"/>
        <w:keepNext/>
        <w:spacing w:before="480" w:after="240" w:line="240" w:lineRule="auto"/>
      </w:pPr>
      <w:r>
        <w:rPr>
          <w:rFonts w:ascii="Times New Roman" w:hAnsi="Times New Roman"/>
          <w:b/>
          <w:color w:val="000000"/>
          <w:sz w:val="26"/>
        </w:rPr>
        <w:t>6 CHECKLIST DE ENSAIO</w:t>
      </w:r>
    </w:p>
    <w:p>
      <w:pPr>
        <w:spacing w:line="360" w:lineRule="auto"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Itens práticos para revisar antes do dia da apresentação, com base nas armadilhas mais comuns desse tipo de apresentação: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Ensaiar com cronômetro por bloco (2-3-3-2 min), não só o tempo total. É onde o estouro de tempo costuma se esconder.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Cada gráfico deve vir acompanhado da pergunta que ele responde em voz alta ("o que aprendemos com isso?"). Nunca mostrar um gráfico sem interpretá-lo.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Evitar reproduzir código ou termos técnicos sem tradução (AUC-ROC, SHAP, overfitting), sempre seguidos de uma explicação em uma frase.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Não esconder a limitação de equidade do grupo Amarelos. Apresentá-la com confiança, como prova de rigor metodológico, não como falha.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Praticar a transição entre blocos em voz alta, não só o conteúdo de cada slide. É onde a apresentação costuma soar fragmentada.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Confirmar que os três integrantes concordam com a divisão de tempo e sabem em qual slide cada um assume a fala.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Revisar as oito perguntas antecipadas (seção 4) na véspera, em voz alta, não só lendo.</w:t>
      </w:r>
    </w:p>
    <w:p>
      <w:r>
        <w:br w:type="page"/>
      </w:r>
    </w:p>
    <w:p>
      <w:pPr>
        <w:pStyle w:val="Heading1"/>
        <w:keepNext/>
        <w:spacing w:before="480" w:after="240" w:line="240" w:lineRule="auto"/>
      </w:pPr>
      <w:r>
        <w:rPr>
          <w:rFonts w:ascii="Times New Roman" w:hAnsi="Times New Roman"/>
          <w:b/>
          <w:color w:val="000000"/>
          <w:sz w:val="26"/>
        </w:rPr>
        <w:t>REFERÊNCIAS</w:t>
      </w:r>
    </w:p>
    <w:p>
      <w:pPr>
        <w:spacing w:line="240" w:lineRule="auto" w:after="240"/>
        <w:ind w:left="0"/>
      </w:pPr>
      <w:r>
        <w:rPr>
          <w:rFonts w:ascii="Times New Roman" w:hAnsi="Times New Roman"/>
          <w:sz w:val="24"/>
        </w:rPr>
        <w:t>INSTITUTO BRASILEIRO DE GEOGRAFIA E ESTATÍSTICA. Pesquisa Nacional por Amostra de Domicílios Contínua (PNAD Contínua): microdados trimestrais, 2023-2025. Rio de Janeiro: IBGE, 2025. Disponível em: https://ftp.ibge.gov.br/Trabalho_e_Rendimento/Pesquisa_Nacional_por_Amostra_de_Domicilios_continua/Trimestral/Microdados/. Acesso em: 2026.</w:t>
      </w:r>
    </w:p>
    <w:p>
      <w:pPr>
        <w:spacing w:line="240" w:lineRule="auto" w:after="240"/>
        <w:ind w:left="0"/>
      </w:pPr>
      <w:r>
        <w:rPr>
          <w:rFonts w:ascii="Times New Roman" w:hAnsi="Times New Roman"/>
          <w:sz w:val="24"/>
        </w:rPr>
        <w:t>MITCHELL, Margaret et al. Model Cards for Model Reporting. In: CONFERENCE ON FAIRNESS, ACCOUNTABILITY, AND TRANSPARENCY (FAT*), 2019, Atlanta. Proceedings [...]. New York: ACM, 2019.</w:t>
      </w:r>
    </w:p>
    <w:p>
      <w:pPr>
        <w:spacing w:line="240" w:lineRule="auto" w:after="240"/>
        <w:ind w:left="0"/>
      </w:pPr>
      <w:r>
        <w:rPr>
          <w:rFonts w:ascii="Times New Roman" w:hAnsi="Times New Roman"/>
          <w:sz w:val="24"/>
        </w:rPr>
        <w:t>InformalidadeBR: repositório do projeto, documentação de requisitos, arquitetura e plano de modelagem. Disponível em: github.com/gui-ramon/pipeline-hands-on-engenharia-de-dados.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