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F3769">
      <w:pPr>
        <w:pStyle w:val="2"/>
        <w:spacing w:before="0" w:beforeAutospacing="0" w:after="0" w:afterAutospacing="0" w:line="312" w:lineRule="auto"/>
        <w:textAlignment w:val="center"/>
        <w:rPr>
          <w:rFonts w:cs="宋体"/>
        </w:rPr>
      </w:pPr>
      <w:r>
        <w:rPr>
          <w:rFonts w:cs="宋体"/>
        </w:rPr>
        <w:t xml:space="preserve">五）技术路线、拟解决的问题及预期成果 </w:t>
      </w:r>
    </w:p>
    <w:p w14:paraId="6C3D939B">
      <w:pPr>
        <w:spacing w:line="312" w:lineRule="auto"/>
        <w:rPr>
          <w:rFonts w:hint="eastAsia"/>
          <w:b/>
          <w:sz w:val="28"/>
        </w:rPr>
      </w:pPr>
      <w:r>
        <w:rPr>
          <w:rFonts w:hint="eastAsia"/>
          <w:b/>
        </w:rPr>
        <w:t>技术路线</w:t>
      </w:r>
      <w:r>
        <w:rPr>
          <w:rFonts w:hint="eastAsia"/>
          <w:b/>
          <w:sz w:val="28"/>
        </w:rPr>
        <w:t>：</w:t>
      </w:r>
    </w:p>
    <w:p w14:paraId="115480B2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1、无线脑机接口交互</w:t>
      </w:r>
    </w:p>
    <w:p w14:paraId="71D9E8FB">
      <w:pPr>
        <w:spacing w:line="312" w:lineRule="auto"/>
        <w:jc w:val="center"/>
        <w:rPr>
          <w:rFonts w:hint="eastAsia"/>
        </w:rPr>
      </w:pPr>
      <w:r>
        <w:drawing>
          <wp:inline distT="0" distB="0" distL="0" distR="0">
            <wp:extent cx="4385945" cy="1760855"/>
            <wp:effectExtent l="0" t="0" r="5080" b="1270"/>
            <wp:docPr id="2" name="图片 65" descr="e9541ba15b9d78f1a5cc18432393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5" descr="e9541ba15b9d78f1a5cc1843239376b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C77D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（1）基于高精度EEG的脑电波信息采集与预处理</w:t>
      </w:r>
    </w:p>
    <w:p w14:paraId="57B0EC3D">
      <w:pPr>
        <w:spacing w:line="312" w:lineRule="auto"/>
        <w:ind w:firstLine="480" w:firstLineChars="200"/>
        <w:rPr>
          <w:rFonts w:hint="eastAsia"/>
        </w:rPr>
      </w:pPr>
      <w:r>
        <w:rPr>
          <w:rFonts w:hint="eastAsia"/>
        </w:rPr>
        <w:t xml:space="preserve">EEG信号源于大脑皮层神经元的同步放电活动，尤其是锥体细胞的突触后电位。当大量神经元通过突触传递形成同步化的电活动时，会在头皮表面产生可测量的电位差。神经元兴奋时产生的短暂电位变化，是信号传递的基础。因开放电场（如大脑皮层Ⅲ、Ⅴ层的锥体细胞排列）的同步放电可被头皮电极记录，而封闭电场的随机放电则相互抵消，无法被检测。所以高精度EEG要求神经元活动的时空同步性，以增强信号强度并减少噪声干扰。 </w:t>
      </w:r>
    </w:p>
    <w:p w14:paraId="3963B43B">
      <w:pPr>
        <w:spacing w:line="312" w:lineRule="auto"/>
        <w:ind w:firstLine="480" w:firstLineChars="200"/>
        <w:rPr>
          <w:rFonts w:hint="eastAsi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rPr>
          <w:rFonts w:hint="eastAsia"/>
        </w:rPr>
        <w:t>技术模块：</w:t>
      </w:r>
    </w:p>
    <w:p w14:paraId="41060DA1">
      <w:pPr>
        <w:spacing w:line="312" w:lineRule="auto"/>
        <w:ind w:firstLine="482" w:firstLineChars="200"/>
        <w:rPr>
          <w:rFonts w:hint="eastAsia"/>
          <w:b/>
        </w:rPr>
      </w:pPr>
      <w:r>
        <w:rPr>
          <w:rFonts w:hint="eastAsia"/>
          <w:b/>
        </w:rPr>
        <w:t>高密度电极阵列（H</w:t>
      </w:r>
      <w:r>
        <w:rPr>
          <w:b/>
        </w:rPr>
        <w:t>D-EEG</w:t>
      </w:r>
      <w:r>
        <w:rPr>
          <w:rFonts w:hint="eastAsia"/>
          <w:b/>
        </w:rPr>
        <w:t>）</w:t>
      </w:r>
    </w:p>
    <w:p w14:paraId="2045BD4C">
      <w:pPr>
        <w:spacing w:line="312" w:lineRule="auto"/>
        <w:ind w:firstLine="480" w:firstLineChars="200"/>
        <w:rPr>
          <w:rFonts w:hint="eastAsia"/>
        </w:rPr>
      </w:pPr>
      <w:r>
        <w:rPr>
          <w:rFonts w:hint="eastAsia"/>
        </w:rPr>
        <w:t>电极布局公式：</w:t>
      </w:r>
    </w:p>
    <w:p w14:paraId="2E7BBDFD">
      <w:pPr>
        <w:spacing w:line="312" w:lineRule="auto"/>
        <w:ind w:firstLine="480" w:firstLineChars="200"/>
        <w:rPr>
          <w:rFonts w:hint="eastAsia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电极间距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头部周长</m:t>
              </m:r>
              <m:ctrlPr>
                <w:rPr>
                  <w:rFonts w:ascii="Cambria Math" w:hAnsi="Cambria Math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/>
                        </w:rPr>
                        <m:t>电极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5C346149">
      <w:pPr>
        <w:spacing w:line="312" w:lineRule="auto"/>
        <w:ind w:firstLine="480" w:firstLineChars="200"/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其中，普通10-20系统电极间距约7cm，而256通道HD-EEG可达1-2cm，显著提高信号精度</w:t>
      </w:r>
      <w:r>
        <w:rPr>
          <w:rFonts w:hint="eastAsia" w:ascii="Segoe UI" w:hAnsi="Segoe UI" w:cs="Segoe UI"/>
          <w:color w:val="404040"/>
          <w:shd w:val="clear" w:color="auto" w:fill="FFFFFF"/>
        </w:rPr>
        <w:t>。</w:t>
      </w:r>
    </w:p>
    <w:p w14:paraId="60850735">
      <w:pPr>
        <w:spacing w:line="312" w:lineRule="auto"/>
        <w:ind w:firstLine="480" w:firstLineChars="200"/>
        <w:rPr>
          <w:rFonts w:ascii="Segoe UI" w:hAnsi="Segoe UI" w:cs="Segoe UI"/>
          <w:color w:val="404040"/>
          <w:shd w:val="clear" w:color="auto" w:fill="FFFFFF"/>
        </w:rPr>
      </w:pPr>
      <w:r>
        <w:rPr>
          <w:rFonts w:hint="eastAsia"/>
        </w:rPr>
        <w:t xml:space="preserve"> </w:t>
      </w:r>
      <w:r>
        <w:rPr>
          <w:rFonts w:ascii="Segoe UI" w:hAnsi="Segoe UI" w:cs="Segoe UI"/>
          <w:color w:val="404040"/>
          <w:shd w:val="clear" w:color="auto" w:fill="FFFFFF"/>
        </w:rPr>
        <w:t>结合右腿驱动（RLD）电路抑制工频干扰：</w:t>
      </w:r>
    </w:p>
    <w:p w14:paraId="6A72665A">
      <w:pPr>
        <w:pStyle w:val="8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signal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noise,</m:t>
                  </m:r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41CD6C54">
      <w:pPr>
        <w:pStyle w:val="3"/>
        <w:ind w:firstLine="480" w:firstLineChars="200"/>
        <w:rPr>
          <w:rFonts w:hint="eastAsia"/>
        </w:rPr>
      </w:pPr>
      <w:r>
        <w:rPr>
          <w:rFonts w:hint="eastAsia"/>
        </w:rPr>
        <w:t>配合</w:t>
      </w:r>
      <w:r>
        <w:t>0.5-100Hz带通滤波，工频干扰抑制比达60dB。</w:t>
      </w:r>
    </w:p>
    <w:p w14:paraId="00C19FFF">
      <w:pPr>
        <w:spacing w:line="312" w:lineRule="auto"/>
        <w:ind w:firstLine="482" w:firstLineChars="200"/>
        <w:rPr>
          <w:rStyle w:val="7"/>
          <w:rFonts w:ascii="Segoe UI" w:hAnsi="Segoe UI" w:cs="Segoe UI"/>
          <w:color w:val="404040"/>
          <w:shd w:val="clear" w:color="auto" w:fill="FFFFFF"/>
        </w:rPr>
      </w:pPr>
      <w:r>
        <w:rPr>
          <w:rStyle w:val="7"/>
          <w:rFonts w:ascii="Segoe UI" w:hAnsi="Segoe UI" w:cs="Segoe UI"/>
          <w:color w:val="404040"/>
          <w:shd w:val="clear" w:color="auto" w:fill="FFFFFF"/>
        </w:rPr>
        <w:t>时频分析与特征提取</w:t>
      </w:r>
    </w:p>
    <w:p w14:paraId="1F23A612">
      <w:pPr>
        <w:spacing w:line="312" w:lineRule="auto"/>
        <w:ind w:firstLine="480" w:firstLineChars="200"/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采用连续小波变换（CWT）与功率谱密度（PSD）联合分析：</w:t>
      </w:r>
    </w:p>
    <w:p w14:paraId="35A6CF5E">
      <w:pPr>
        <w:pStyle w:val="8"/>
        <w:jc w:val="center"/>
      </w:pPr>
      <w:r>
        <w:t>特征向量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τ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 xml:space="preserve"> 其中 </w:t>
      </w:r>
      <m:oMath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j2πft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dt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</w:p>
    <w:p w14:paraId="5B6E0B6C">
      <w:pPr>
        <w:spacing w:line="312" w:lineRule="auto"/>
        <w:ind w:firstLine="480" w:firstLineChars="200"/>
        <w:rPr>
          <w:rFonts w:ascii="Segoe UI" w:hAnsi="Segoe UI" w:cs="Segoe UI"/>
          <w:color w:val="404040"/>
          <w:shd w:val="clear" w:color="auto" w:fill="FFFFFF"/>
        </w:rPr>
      </w:pPr>
    </w:p>
    <w:p w14:paraId="27B90E4B">
      <w:pPr>
        <w:spacing w:line="312" w:lineRule="auto"/>
        <w:ind w:firstLine="480" w:firstLineChars="200"/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频段划分：δ(0.5-4Hz)、θ(4-8Hz)、α(8-13Hz)、β(13-30Hz)、γ(30-100Hz)</w:t>
      </w:r>
    </w:p>
    <w:p w14:paraId="016627D8">
      <w:pPr>
        <w:spacing w:line="312" w:lineRule="auto"/>
        <w:ind w:firstLine="480" w:firstLineChars="200"/>
        <w:rPr>
          <w:rFonts w:ascii="Segoe UI" w:hAnsi="Segoe UI" w:cs="Segoe UI"/>
          <w:b/>
          <w:color w:val="404040"/>
          <w:shd w:val="clear" w:color="auto" w:fill="FFFFFF"/>
        </w:rPr>
      </w:pPr>
      <w:r>
        <w:rPr>
          <w:rStyle w:val="7"/>
          <w:rFonts w:ascii="Segoe UI" w:hAnsi="Segoe UI" w:cs="Segoe UI"/>
          <w:b w:val="0"/>
          <w:color w:val="404040"/>
          <w:shd w:val="clear" w:color="auto" w:fill="FFFFFF"/>
        </w:rPr>
        <w:fldChar w:fldCharType="begin"/>
      </w:r>
      <w:r>
        <w:rPr>
          <w:rStyle w:val="7"/>
          <w:rFonts w:ascii="Segoe UI" w:hAnsi="Segoe UI" w:cs="Segoe UI"/>
          <w:b w:val="0"/>
          <w:color w:val="404040"/>
          <w:shd w:val="clear" w:color="auto" w:fill="FFFFFF"/>
        </w:rPr>
        <w:instrText xml:space="preserve"> </w:instrText>
      </w:r>
      <w:r>
        <w:rPr>
          <w:rStyle w:val="7"/>
          <w:rFonts w:hint="eastAsia" w:ascii="Segoe UI" w:hAnsi="Segoe UI" w:cs="Segoe UI"/>
          <w:b w:val="0"/>
          <w:color w:val="404040"/>
          <w:shd w:val="clear" w:color="auto" w:fill="FFFFFF"/>
        </w:rPr>
        <w:instrText xml:space="preserve">= 2 \* GB3</w:instrText>
      </w:r>
      <w:r>
        <w:rPr>
          <w:rStyle w:val="7"/>
          <w:rFonts w:ascii="Segoe UI" w:hAnsi="Segoe UI" w:cs="Segoe UI"/>
          <w:b w:val="0"/>
          <w:color w:val="404040"/>
          <w:shd w:val="clear" w:color="auto" w:fill="FFFFFF"/>
        </w:rPr>
        <w:instrText xml:space="preserve"> </w:instrText>
      </w:r>
      <w:r>
        <w:rPr>
          <w:rStyle w:val="7"/>
          <w:rFonts w:ascii="Segoe UI" w:hAnsi="Segoe UI" w:cs="Segoe UI"/>
          <w:b w:val="0"/>
          <w:color w:val="404040"/>
          <w:shd w:val="clear" w:color="auto" w:fill="FFFFFF"/>
        </w:rPr>
        <w:fldChar w:fldCharType="separate"/>
      </w:r>
      <w:r>
        <w:rPr>
          <w:rStyle w:val="7"/>
          <w:rFonts w:hint="eastAsia" w:ascii="Segoe UI" w:hAnsi="Segoe UI" w:cs="Segoe UI"/>
          <w:b w:val="0"/>
          <w:color w:val="404040"/>
          <w:shd w:val="clear" w:color="auto" w:fill="FFFFFF"/>
        </w:rPr>
        <w:t>②</w:t>
      </w:r>
      <w:r>
        <w:rPr>
          <w:rStyle w:val="7"/>
          <w:rFonts w:ascii="Segoe UI" w:hAnsi="Segoe UI" w:cs="Segoe UI"/>
          <w:b w:val="0"/>
          <w:color w:val="404040"/>
          <w:shd w:val="clear" w:color="auto" w:fill="FFFFFF"/>
        </w:rPr>
        <w:fldChar w:fldCharType="end"/>
      </w:r>
      <w:r>
        <w:rPr>
          <w:rStyle w:val="7"/>
          <w:rFonts w:ascii="Segoe UI" w:hAnsi="Segoe UI" w:cs="Segoe UI"/>
          <w:b w:val="0"/>
          <w:color w:val="404040"/>
          <w:shd w:val="clear" w:color="auto" w:fill="FFFFFF"/>
        </w:rPr>
        <w:t>数据压缩</w:t>
      </w:r>
      <w:r>
        <w:rPr>
          <w:rFonts w:ascii="Segoe UI" w:hAnsi="Segoe UI" w:cs="Segoe UI"/>
          <w:b/>
          <w:color w:val="404040"/>
          <w:shd w:val="clear" w:color="auto" w:fill="FFFFFF"/>
        </w:rPr>
        <w:t>：</w:t>
      </w:r>
    </w:p>
    <w:p w14:paraId="47133FB7">
      <w:pPr>
        <w:spacing w:line="312" w:lineRule="auto"/>
        <w:ind w:firstLine="482" w:firstLineChars="200"/>
        <w:rPr>
          <w:rFonts w:ascii="Segoe UI" w:hAnsi="Segoe UI" w:cs="Segoe UI"/>
          <w:color w:val="404040"/>
          <w:shd w:val="clear" w:color="auto" w:fill="FFFFFF"/>
        </w:rPr>
      </w:pPr>
      <w:r>
        <w:rPr>
          <w:rStyle w:val="7"/>
          <w:rFonts w:ascii="Segoe UI" w:hAnsi="Segoe UI" w:cs="Segoe UI"/>
          <w:color w:val="404040"/>
          <w:shd w:val="clear" w:color="auto" w:fill="FFFFFF"/>
        </w:rPr>
        <w:t>压缩感知（CS）</w:t>
      </w:r>
    </w:p>
    <w:p w14:paraId="48803CCD">
      <w:pPr>
        <w:spacing w:line="312" w:lineRule="auto"/>
        <w:ind w:firstLine="480" w:firstLineChars="200"/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稀疏基选择（离散余弦变换/DCT），重构约束：</w:t>
      </w:r>
    </w:p>
    <w:p w14:paraId="7AA96A4C">
      <w:pPr>
        <w:pStyle w:val="3"/>
        <w:jc w:val="center"/>
        <w:rPr>
          <w:rFonts w:hint="eastAsia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min∥x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∥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t</m:t>
          </m:r>
          <m:r>
            <m:rPr/>
            <w:rPr>
              <w:rFonts w:ascii="Cambria Math" w:hAnsi="Cambria Math"/>
            </w:rPr>
            <m:t>.∥y−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m:rPr/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∥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&lt;ϵ(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m:rPr>
              <m:nor/>
              <m:sty m:val="p"/>
            </m:rPr>
            <w:rPr>
              <w:rFonts w:ascii="等线" w:hAnsi="等线"/>
              <w:b w:val="0"/>
              <w:i w:val="0"/>
            </w:rPr>
            <m:t>为随机高斯矩阵</m:t>
          </m:r>
          <m:r>
            <m:rPr/>
            <w:rPr>
              <w:rFonts w:ascii="Cambria Math" w:hAnsi="Cambria Math"/>
            </w:rPr>
            <m:t>)</m:t>
          </m:r>
        </m:oMath>
      </m:oMathPara>
    </w:p>
    <w:p w14:paraId="505FE00B">
      <w:pPr>
        <w:spacing w:line="312" w:lineRule="auto"/>
        <w:ind w:firstLine="480" w:firstLineChars="200"/>
        <w:rPr>
          <w:rFonts w:ascii="Segoe UI" w:hAnsi="Segoe UI" w:cs="Segoe UI"/>
          <w:b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压缩比可达4:1（PSNR&gt;40dB）</w:t>
      </w:r>
    </w:p>
    <w:p w14:paraId="0922D859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（2）利用CRC-BCH串联编码算法进行信息处理</w:t>
      </w:r>
    </w:p>
    <w:p w14:paraId="18D27359">
      <w:pPr>
        <w:pStyle w:val="4"/>
        <w:shd w:val="clear" w:color="auto" w:fill="FFFFFF"/>
        <w:spacing w:before="0" w:beforeAutospacing="0" w:after="0" w:afterAutospacing="0" w:line="312" w:lineRule="auto"/>
        <w:ind w:firstLine="480" w:firstLineChars="200"/>
        <w:rPr>
          <w:rFonts w:hint="eastAsia" w:ascii="PingFang SC-Regular" w:hAnsi="PingFang SC-Regular"/>
          <w:color w:val="1B1C21"/>
          <w:spacing w:val="8"/>
          <w:shd w:val="clear" w:color="auto" w:fill="FFFFFF"/>
        </w:rPr>
      </w:pPr>
      <w:r>
        <w:rPr>
          <w:rFonts w:hint="eastAsia"/>
        </w:rPr>
        <w:t>CRC-BCH串联编码算法是结合其在无线脑电信号（EEG）采集设备中的具体应用场景，</w:t>
      </w:r>
      <w:r>
        <w:rPr>
          <w:rFonts w:ascii="PingFang SC-Regular" w:hAnsi="PingFang SC-Regular"/>
          <w:color w:val="1B1C21"/>
          <w:spacing w:val="8"/>
          <w:shd w:val="clear" w:color="auto" w:fill="FFFFFF"/>
        </w:rPr>
        <w:t>CRC-BCH串联编码算法是一种结合了循环冗余校验（CRC）和Bose–Chaudhuri–Hocquenghem（BCH）码优点的级联编码方案</w:t>
      </w:r>
      <w:r>
        <w:rPr>
          <w:rFonts w:hint="eastAsia" w:ascii="PingFang SC-Regular" w:hAnsi="PingFang SC-Regular"/>
          <w:color w:val="1B1C21"/>
          <w:spacing w:val="8"/>
          <w:shd w:val="clear" w:color="auto" w:fill="FFFFFF"/>
        </w:rPr>
        <w:t>。</w:t>
      </w:r>
    </w:p>
    <w:p w14:paraId="5C9FECD4">
      <w:pPr>
        <w:pStyle w:val="4"/>
        <w:shd w:val="clear" w:color="auto" w:fill="FFFFFF"/>
        <w:spacing w:before="0" w:beforeAutospacing="0" w:after="0" w:afterAutospacing="0" w:line="312" w:lineRule="auto"/>
        <w:ind w:firstLine="514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Style w:val="7"/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Style w:val="7"/>
          <w:rFonts w:hint="eastAsia" w:ascii="PingFang SC-Regular" w:hAnsi="PingFang SC-Regular"/>
          <w:color w:val="1B1C21"/>
          <w:spacing w:val="8"/>
        </w:rPr>
        <w:instrText xml:space="preserve"> = 1 \* GB3 </w:instrText>
      </w:r>
      <w:r>
        <w:rPr>
          <w:rStyle w:val="7"/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Style w:val="7"/>
          <w:rFonts w:hint="eastAsia" w:ascii="PingFang SC-Regular" w:hAnsi="PingFang SC-Regular"/>
          <w:color w:val="1B1C21"/>
          <w:spacing w:val="8"/>
        </w:rPr>
        <w:t>①</w:t>
      </w:r>
      <w:r>
        <w:rPr>
          <w:rStyle w:val="7"/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Style w:val="7"/>
          <w:rFonts w:ascii="PingFang SC-Regular" w:hAnsi="PingFang SC-Regular"/>
          <w:color w:val="1B1C21"/>
          <w:spacing w:val="8"/>
        </w:rPr>
        <w:t>编码步骤</w:t>
      </w:r>
    </w:p>
    <w:p w14:paraId="7E4D7680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数据分块</w:t>
      </w:r>
      <w:r>
        <w:rPr>
          <w:rFonts w:ascii="Segoe UI" w:hAnsi="Segoe UI" w:cs="Segoe UI"/>
          <w:color w:val="404040"/>
        </w:rPr>
        <w:t>：将压缩后的EEG数据分为K块，每块长度L=1024bit</w:t>
      </w:r>
    </w:p>
    <w:p w14:paraId="7CC80581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CRC附加</w:t>
      </w:r>
      <w:r>
        <w:rPr>
          <w:rFonts w:ascii="Segoe UI" w:hAnsi="Segoe UI" w:cs="Segoe UI"/>
          <w:color w:val="404040"/>
        </w:rPr>
        <w:t>：每块添加CRC-16校验码（生成多项式</w:t>
      </w:r>
      <m:oMath>
        <m:r>
          <m:rPr/>
          <w:rPr>
            <w:rFonts w:ascii="Cambria Math" w:hAnsi="Cambria Math" w:cs="Segoe UI"/>
            <w:color w:val="404040"/>
          </w:rPr>
          <m:t>g(x)=</m:t>
        </m:r>
        <m:sSup>
          <m:sSupPr>
            <m:ctrlPr>
              <w:rPr>
                <w:rFonts w:ascii="Cambria Math" w:hAnsi="Cambria Math" w:cs="Segoe UI"/>
                <w:color w:val="404040"/>
              </w:rPr>
            </m:ctrlPr>
          </m:sSupPr>
          <m:e>
            <m:r>
              <m:rPr/>
              <w:rPr>
                <w:rFonts w:ascii="Cambria Math" w:hAnsi="Cambria Math" w:cs="Segoe UI"/>
                <w:color w:val="404040"/>
              </w:rPr>
              <m:t>x</m:t>
            </m:r>
            <m:ctrlPr>
              <w:rPr>
                <w:rFonts w:ascii="Cambria Math" w:hAnsi="Cambria Math" w:cs="Segoe UI"/>
                <w:color w:val="404040"/>
              </w:rPr>
            </m:ctrlPr>
          </m:e>
          <m:sup>
            <m:r>
              <m:rPr/>
              <w:rPr>
                <w:rFonts w:ascii="Cambria Math" w:hAnsi="Cambria Math" w:cs="Segoe UI"/>
                <w:color w:val="404040"/>
              </w:rPr>
              <m:t>16</m:t>
            </m:r>
            <m:ctrlPr>
              <w:rPr>
                <w:rFonts w:ascii="Cambria Math" w:hAnsi="Cambria Math" w:cs="Segoe UI"/>
                <w:color w:val="404040"/>
              </w:rPr>
            </m:ctrlPr>
          </m:sup>
        </m:sSup>
        <m:r>
          <m:rPr/>
          <w:rPr>
            <w:rFonts w:ascii="Cambria Math" w:hAnsi="Cambria Math" w:cs="Segoe UI"/>
            <w:color w:val="404040"/>
          </w:rPr>
          <m:t>+</m:t>
        </m:r>
        <m:sSup>
          <m:sSupPr>
            <m:ctrlPr>
              <w:rPr>
                <w:rFonts w:ascii="Cambria Math" w:hAnsi="Cambria Math" w:cs="Segoe UI"/>
                <w:color w:val="404040"/>
              </w:rPr>
            </m:ctrlPr>
          </m:sSupPr>
          <m:e>
            <m:r>
              <m:rPr/>
              <w:rPr>
                <w:rFonts w:ascii="Cambria Math" w:hAnsi="Cambria Math" w:cs="Segoe UI"/>
                <w:color w:val="404040"/>
              </w:rPr>
              <m:t>x</m:t>
            </m:r>
            <m:ctrlPr>
              <w:rPr>
                <w:rFonts w:ascii="Cambria Math" w:hAnsi="Cambria Math" w:cs="Segoe UI"/>
                <w:color w:val="404040"/>
              </w:rPr>
            </m:ctrlPr>
          </m:e>
          <m:sup>
            <m:r>
              <m:rPr/>
              <w:rPr>
                <w:rFonts w:ascii="Cambria Math" w:hAnsi="Cambria Math" w:cs="Segoe UI"/>
                <w:color w:val="404040"/>
              </w:rPr>
              <m:t>15</m:t>
            </m:r>
            <m:ctrlPr>
              <w:rPr>
                <w:rFonts w:ascii="Cambria Math" w:hAnsi="Cambria Math" w:cs="Segoe UI"/>
                <w:color w:val="404040"/>
              </w:rPr>
            </m:ctrlPr>
          </m:sup>
        </m:sSup>
        <m:r>
          <m:rPr/>
          <w:rPr>
            <w:rFonts w:ascii="Cambria Math" w:hAnsi="Cambria Math" w:cs="Segoe UI"/>
            <w:color w:val="404040"/>
          </w:rPr>
          <m:t>+</m:t>
        </m:r>
        <m:sSup>
          <m:sSupPr>
            <m:ctrlPr>
              <w:rPr>
                <w:rFonts w:ascii="Cambria Math" w:hAnsi="Cambria Math" w:cs="Segoe UI"/>
                <w:color w:val="404040"/>
              </w:rPr>
            </m:ctrlPr>
          </m:sSupPr>
          <m:e>
            <m:r>
              <m:rPr/>
              <w:rPr>
                <w:rFonts w:ascii="Cambria Math" w:hAnsi="Cambria Math" w:cs="Segoe UI"/>
                <w:color w:val="404040"/>
              </w:rPr>
              <m:t>x</m:t>
            </m:r>
            <m:ctrlPr>
              <w:rPr>
                <w:rFonts w:ascii="Cambria Math" w:hAnsi="Cambria Math" w:cs="Segoe UI"/>
                <w:color w:val="404040"/>
              </w:rPr>
            </m:ctrlPr>
          </m:e>
          <m:sup>
            <m:r>
              <m:rPr/>
              <w:rPr>
                <w:rFonts w:ascii="Cambria Math" w:hAnsi="Cambria Math" w:cs="Segoe UI"/>
                <w:color w:val="404040"/>
              </w:rPr>
              <m:t>2</m:t>
            </m:r>
            <m:ctrlPr>
              <w:rPr>
                <w:rFonts w:ascii="Cambria Math" w:hAnsi="Cambria Math" w:cs="Segoe UI"/>
                <w:color w:val="404040"/>
              </w:rPr>
            </m:ctrlPr>
          </m:sup>
        </m:sSup>
        <m:r>
          <m:rPr/>
          <w:rPr>
            <w:rFonts w:ascii="Cambria Math" w:hAnsi="Cambria Math" w:cs="Segoe UI"/>
            <w:color w:val="404040"/>
          </w:rPr>
          <m:t>+1</m:t>
        </m:r>
      </m:oMath>
      <w:r>
        <w:rPr>
          <w:rFonts w:hint="eastAsia" w:ascii="Segoe UI" w:hAnsi="Segoe UI" w:cs="Segoe UI"/>
          <w:color w:val="404040"/>
        </w:rPr>
        <w:t>）</w:t>
      </w:r>
    </w:p>
    <w:p w14:paraId="2088338E">
      <w:pPr>
        <w:shd w:val="clear" w:color="auto" w:fill="FFFFFF"/>
        <w:spacing w:after="100" w:afterAutospacing="1" w:line="429" w:lineRule="atLeast"/>
        <w:ind w:left="720"/>
        <w:rPr>
          <w:rFonts w:ascii="Segoe UI" w:hAnsi="Segoe UI" w:cs="Segoe UI"/>
          <w:color w:val="404040"/>
        </w:rPr>
      </w:pPr>
      <m:oMathPara>
        <m:oMath>
          <m:sSub>
            <m:sSubPr>
              <m:ctrlPr>
                <w:rPr>
                  <w:rFonts w:ascii="Cambria Math" w:hAnsi="Cambria Math" w:cs="Segoe UI"/>
                  <w:color w:val="404040"/>
                </w:rPr>
              </m:ctrlPr>
            </m:sSubPr>
            <m:e>
              <m:r>
                <m:rPr/>
                <w:rPr>
                  <w:rFonts w:ascii="Cambria Math" w:hAnsi="Cambria Math" w:cs="Segoe UI"/>
                  <w:color w:val="404040"/>
                </w:rPr>
                <m:t>R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Segoe UI"/>
                  <w:color w:val="404040"/>
                </w:rPr>
                <m:t>CRC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sub>
          </m:sSub>
          <m:r>
            <m:rPr/>
            <w:rPr>
              <w:rFonts w:ascii="Cambria Math" w:hAnsi="Cambria Math" w:cs="Segoe UI"/>
              <w:color w:val="404040"/>
            </w:rPr>
            <m:t>(x)=(d(x)⋅</m:t>
          </m:r>
          <m:sSup>
            <m:sSupPr>
              <m:ctrlPr>
                <w:rPr>
                  <w:rFonts w:ascii="Cambria Math" w:hAnsi="Cambria Math" w:cs="Segoe UI"/>
                  <w:color w:val="404040"/>
                </w:rPr>
              </m:ctrlPr>
            </m:sSupPr>
            <m:e>
              <m:r>
                <m:rPr/>
                <w:rPr>
                  <w:rFonts w:ascii="Cambria Math" w:hAnsi="Cambria Math" w:cs="Segoe UI"/>
                  <w:color w:val="404040"/>
                </w:rPr>
                <m:t>x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e>
            <m:sup>
              <m:r>
                <m:rPr/>
                <w:rPr>
                  <w:rFonts w:ascii="Cambria Math" w:hAnsi="Cambria Math" w:cs="Segoe UI"/>
                  <w:color w:val="404040"/>
                </w:rPr>
                <m:t>16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sup>
          </m:sSup>
          <m:r>
            <m:rPr/>
            <w:rPr>
              <w:rFonts w:ascii="Cambria Math" w:hAnsi="Cambria Math" w:cs="Segoe UI"/>
              <w:color w:val="404040"/>
            </w:rPr>
            <m:t>)</m:t>
          </m:r>
          <m:r>
            <m:rPr>
              <m:sty m:val="p"/>
            </m:rPr>
            <w:rPr>
              <w:rFonts w:ascii="Cambria Math" w:hAnsi="Cambria Math" w:cs="Segoe UI"/>
              <w:color w:val="404040"/>
            </w:rPr>
            <m:t>mod</m:t>
          </m:r>
          <m:r>
            <m:rPr/>
            <w:rPr>
              <w:rFonts w:ascii="Cambria Math" w:hAnsi="Cambria Math" w:cs="Segoe UI"/>
              <w:color w:val="404040"/>
            </w:rPr>
            <m:t>g(x)</m:t>
          </m:r>
        </m:oMath>
      </m:oMathPara>
    </w:p>
    <w:p w14:paraId="242E94A5">
      <w:pPr>
        <w:shd w:val="clear" w:color="auto" w:fill="FFFFFF"/>
        <w:spacing w:after="60" w:line="429" w:lineRule="atLeast"/>
        <w:ind w:left="720"/>
        <w:rPr>
          <w:rFonts w:ascii="Segoe UI" w:hAnsi="Segoe UI" w:cs="Segoe UI"/>
          <w:color w:val="404040"/>
        </w:rPr>
      </w:pPr>
    </w:p>
    <w:p w14:paraId="2A09516A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BCH编码</w:t>
      </w:r>
      <w:r>
        <w:rPr>
          <w:rFonts w:ascii="Segoe UI" w:hAnsi="Segoe UI" w:cs="Segoe UI"/>
          <w:color w:val="404040"/>
        </w:rPr>
        <w:t>：对CRC校验后的数据块进行BCH(1023, 923, t=10)编码：</w:t>
      </w:r>
    </w:p>
    <w:p w14:paraId="42851052">
      <w:pPr>
        <w:shd w:val="clear" w:color="auto" w:fill="FFFFFF"/>
        <w:spacing w:after="60" w:line="429" w:lineRule="atLeast"/>
        <w:ind w:left="720"/>
        <w:rPr>
          <w:rFonts w:ascii="Segoe UI" w:hAnsi="Segoe UI" w:cs="Segoe UI"/>
          <w:color w:val="404040"/>
        </w:rPr>
      </w:pPr>
      <m:oMathPara>
        <m:oMath>
          <m:sSub>
            <m:sSubPr>
              <m:ctrlPr>
                <w:rPr>
                  <w:rFonts w:ascii="Cambria Math" w:hAnsi="Cambria Math" w:cs="Segoe UI"/>
                  <w:color w:val="404040"/>
                </w:rPr>
              </m:ctrlPr>
            </m:sSubPr>
            <m:e>
              <m:r>
                <m:rPr/>
                <w:rPr>
                  <w:rFonts w:ascii="Cambria Math" w:hAnsi="Cambria Math" w:cs="Segoe UI"/>
                  <w:color w:val="404040"/>
                </w:rPr>
                <m:t>c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Segoe UI"/>
                  <w:color w:val="404040"/>
                </w:rPr>
                <m:t>BCH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sub>
          </m:sSub>
          <m:r>
            <m:rPr/>
            <w:rPr>
              <w:rFonts w:ascii="Cambria Math" w:hAnsi="Cambria Math" w:cs="Segoe UI"/>
              <w:color w:val="404040"/>
            </w:rPr>
            <m:t>(x)=</m:t>
          </m:r>
          <m:sSub>
            <m:sSubPr>
              <m:ctrlPr>
                <w:rPr>
                  <w:rFonts w:ascii="Cambria Math" w:hAnsi="Cambria Math" w:cs="Segoe UI"/>
                  <w:color w:val="404040"/>
                </w:rPr>
              </m:ctrlPr>
            </m:sSubPr>
            <m:e>
              <m:r>
                <m:rPr/>
                <w:rPr>
                  <w:rFonts w:ascii="Cambria Math" w:hAnsi="Cambria Math" w:cs="Segoe UI"/>
                  <w:color w:val="404040"/>
                </w:rPr>
                <m:t>c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Segoe UI"/>
                  <w:color w:val="404040"/>
                </w:rPr>
                <m:t>CRC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sub>
          </m:sSub>
          <m:r>
            <m:rPr/>
            <w:rPr>
              <w:rFonts w:ascii="Cambria Math" w:hAnsi="Cambria Math" w:cs="Segoe UI"/>
              <w:color w:val="404040"/>
            </w:rPr>
            <m:t>(x)⋅</m:t>
          </m:r>
          <m:sSup>
            <m:sSupPr>
              <m:ctrlPr>
                <w:rPr>
                  <w:rFonts w:ascii="Cambria Math" w:hAnsi="Cambria Math" w:cs="Segoe UI"/>
                  <w:color w:val="404040"/>
                </w:rPr>
              </m:ctrlPr>
            </m:sSupPr>
            <m:e>
              <m:r>
                <m:rPr/>
                <w:rPr>
                  <w:rFonts w:ascii="Cambria Math" w:hAnsi="Cambria Math" w:cs="Segoe UI"/>
                  <w:color w:val="404040"/>
                </w:rPr>
                <m:t>x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e>
            <m:sup>
              <m:r>
                <m:rPr/>
                <w:rPr>
                  <w:rFonts w:ascii="Cambria Math" w:hAnsi="Cambria Math" w:cs="Segoe UI"/>
                  <w:color w:val="404040"/>
                </w:rPr>
                <m:t>100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sup>
          </m:sSup>
          <m:r>
            <m:rPr>
              <m:sty m:val="p"/>
            </m:rPr>
            <w:rPr>
              <w:rFonts w:ascii="Cambria Math" w:hAnsi="Cambria Math" w:cs="Segoe UI"/>
              <w:color w:val="404040"/>
            </w:rPr>
            <m:t>mod</m:t>
          </m:r>
          <m:sSub>
            <m:sSubPr>
              <m:ctrlPr>
                <w:rPr>
                  <w:rFonts w:ascii="Cambria Math" w:hAnsi="Cambria Math" w:cs="Segoe UI"/>
                  <w:color w:val="404040"/>
                </w:rPr>
              </m:ctrlPr>
            </m:sSubPr>
            <m:e>
              <m:r>
                <m:rPr/>
                <w:rPr>
                  <w:rFonts w:ascii="Cambria Math" w:hAnsi="Cambria Math" w:cs="Segoe UI"/>
                  <w:color w:val="404040"/>
                </w:rPr>
                <m:t>g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Segoe UI"/>
                  <w:color w:val="404040"/>
                </w:rPr>
                <m:t>BCH</m:t>
              </m:r>
              <m:ctrlPr>
                <w:rPr>
                  <w:rFonts w:ascii="Cambria Math" w:hAnsi="Cambria Math" w:cs="Segoe UI"/>
                  <w:color w:val="404040"/>
                </w:rPr>
              </m:ctrlPr>
            </m:sub>
          </m:sSub>
          <m:r>
            <m:rPr/>
            <w:rPr>
              <w:rFonts w:ascii="Cambria Math" w:hAnsi="Cambria Math" w:cs="Segoe UI"/>
              <w:color w:val="404040"/>
            </w:rPr>
            <m:t>(x)</m:t>
          </m:r>
        </m:oMath>
      </m:oMathPara>
    </w:p>
    <w:p w14:paraId="05CFF834">
      <w:pPr>
        <w:shd w:val="clear" w:color="auto" w:fill="FFFFFF"/>
        <w:spacing w:before="60" w:after="100" w:afterAutospacing="1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纠错能力：每块最多纠正10bit错误</w:t>
      </w:r>
    </w:p>
    <w:p w14:paraId="16719146">
      <w:pPr>
        <w:shd w:val="clear" w:color="auto" w:fill="FFFFFF"/>
        <w:spacing w:before="60" w:after="100" w:afterAutospacing="1" w:line="429" w:lineRule="atLeast"/>
        <w:ind w:firstLine="482" w:firstLineChars="200"/>
        <w:rPr>
          <w:rStyle w:val="7"/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b/>
          <w:bCs/>
          <w:color w:val="404040"/>
        </w:rPr>
        <w:fldChar w:fldCharType="begin"/>
      </w:r>
      <w:r>
        <w:rPr>
          <w:rFonts w:ascii="Segoe UI" w:hAnsi="Segoe UI" w:cs="Segoe UI"/>
          <w:b/>
          <w:bCs/>
          <w:color w:val="404040"/>
        </w:rPr>
        <w:instrText xml:space="preserve"> </w:instrText>
      </w:r>
      <w:r>
        <w:rPr>
          <w:rFonts w:hint="eastAsia" w:ascii="Segoe UI" w:hAnsi="Segoe UI" w:cs="Segoe UI"/>
          <w:b/>
          <w:bCs/>
          <w:color w:val="404040"/>
        </w:rPr>
        <w:instrText xml:space="preserve">= 2 \* GB3</w:instrText>
      </w:r>
      <w:r>
        <w:rPr>
          <w:rFonts w:ascii="Segoe UI" w:hAnsi="Segoe UI" w:cs="Segoe UI"/>
          <w:b/>
          <w:bCs/>
          <w:color w:val="404040"/>
        </w:rPr>
        <w:instrText xml:space="preserve"> </w:instrText>
      </w:r>
      <w:r>
        <w:rPr>
          <w:rFonts w:ascii="Segoe UI" w:hAnsi="Segoe UI" w:cs="Segoe UI"/>
          <w:b/>
          <w:bCs/>
          <w:color w:val="404040"/>
        </w:rPr>
        <w:fldChar w:fldCharType="separate"/>
      </w:r>
      <w:r>
        <w:rPr>
          <w:rFonts w:hint="eastAsia" w:ascii="Segoe UI" w:hAnsi="Segoe UI" w:cs="Segoe UI"/>
          <w:b/>
          <w:bCs/>
          <w:color w:val="404040"/>
        </w:rPr>
        <w:t>②</w:t>
      </w:r>
      <w:r>
        <w:rPr>
          <w:rFonts w:ascii="Segoe UI" w:hAnsi="Segoe UI" w:cs="Segoe UI"/>
          <w:b/>
          <w:bCs/>
          <w:color w:val="404040"/>
        </w:rPr>
        <w:fldChar w:fldCharType="end"/>
      </w:r>
      <w:r>
        <w:rPr>
          <w:rStyle w:val="7"/>
          <w:rFonts w:ascii="Segoe UI" w:hAnsi="Segoe UI" w:cs="Segoe UI"/>
          <w:color w:val="404040"/>
          <w:shd w:val="clear" w:color="auto" w:fill="FFFFFF"/>
        </w:rPr>
        <w:t>性能优化</w:t>
      </w:r>
    </w:p>
    <w:p w14:paraId="1DDEEE9E">
      <w:pPr>
        <w:pStyle w:val="9"/>
        <w:numPr>
          <w:ilvl w:val="0"/>
          <w:numId w:val="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7"/>
          <w:rFonts w:ascii="Segoe UI" w:hAnsi="Segoe UI" w:cs="Segoe UI"/>
          <w:color w:val="404040"/>
        </w:rPr>
        <w:t>动态分块策略</w:t>
      </w:r>
      <w:r>
        <w:rPr>
          <w:rFonts w:ascii="Segoe UI" w:hAnsi="Segoe UI" w:cs="Segoe UI"/>
          <w:color w:val="404040"/>
        </w:rPr>
        <w:t>：根据信道质量调整块长L（L=512~2048bit）</w:t>
      </w:r>
    </w:p>
    <w:p w14:paraId="0C74E21E">
      <w:pPr>
        <w:pStyle w:val="9"/>
        <w:numPr>
          <w:ilvl w:val="0"/>
          <w:numId w:val="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7"/>
          <w:rFonts w:ascii="Segoe UI" w:hAnsi="Segoe UI" w:cs="Segoe UI"/>
          <w:color w:val="404040"/>
        </w:rPr>
        <w:t>归一化最小和（NMS）解码</w:t>
      </w:r>
      <w:r>
        <w:rPr>
          <w:rFonts w:ascii="Segoe UI" w:hAnsi="Segoe UI" w:cs="Segoe UI"/>
          <w:color w:val="404040"/>
        </w:rPr>
        <w:t>：</w:t>
      </w:r>
      <w:r>
        <w:rPr>
          <w:rFonts w:ascii="Segoe UI" w:hAnsi="Segoe UI" w:cs="Segoe UI"/>
          <w:color w:val="404040"/>
        </w:rPr>
        <w:br w:type="textWrapping"/>
      </w:r>
      <w:r>
        <w:rPr>
          <w:rFonts w:ascii="Segoe UI" w:hAnsi="Segoe UI" w:cs="Segoe UI"/>
          <w:color w:val="404040"/>
        </w:rPr>
        <w:t>损失函数：</w:t>
      </w:r>
    </w:p>
    <w:p w14:paraId="7B134DA5">
      <w:pPr>
        <w:pStyle w:val="8"/>
        <w:jc w:val="center"/>
        <w:rPr>
          <w:lang w:eastAsia="zh-CN"/>
        </w:rPr>
      </w:pPr>
      <w:r>
        <w:rPr>
          <w:lang w:eastAsia="zh-CN"/>
        </w:rPr>
        <w:t xml:space="preserve">Loss </w:t>
      </w:r>
      <m:oMath>
        <m:r>
          <m:rPr/>
          <w:rPr>
            <w:rFonts w:ascii="Cambria Math" w:hAnsi="Cambria Math"/>
            <w:lang w:eastAsia="zh-CN"/>
          </w:rPr>
          <m:t>=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  <w:lang w:eastAsia="zh-CN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  <w:lang w:eastAsia="zh-CN"/>
              </w:rPr>
              <m:t> </m:t>
            </m:r>
            <m:ctrlPr>
              <w:rPr>
                <w:rFonts w:ascii="Cambria Math" w:hAnsi="Cambria Math"/>
              </w:rPr>
            </m:ctrlPr>
          </m:e>
        </m:nary>
      </m:oMath>
      <w:r>
        <w:rPr>
          <w:lang w:eastAsia="zh-CN"/>
        </w:rPr>
        <w:t>环长4数量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m:rPr/>
          <w:rPr>
            <w:rFonts w:ascii="Cambria Math" w:hAnsi="Cambria Math"/>
            <w:lang w:eastAsia="zh-CN"/>
          </w:rPr>
          <m:t>0.5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</m:oMath>
      <w:r>
        <w:rPr>
          <w:lang w:eastAsia="zh-CN"/>
        </w:rPr>
        <w:t>列权重方差</w:t>
      </w:r>
    </w:p>
    <w:p w14:paraId="2E96AE5A">
      <w:pPr>
        <w:shd w:val="clear" w:color="auto" w:fill="FFFFFF"/>
        <w:spacing w:before="60" w:after="100" w:afterAutospacing="1" w:line="429" w:lineRule="atLeast"/>
        <w:ind w:firstLine="480" w:firstLineChars="200"/>
        <w:rPr>
          <w:rFonts w:ascii="Segoe UI" w:hAnsi="Segoe UI" w:cs="Segoe UI"/>
          <w:b/>
          <w:bCs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解码速度提升30%（对比传统BM算法）</w:t>
      </w:r>
    </w:p>
    <w:p w14:paraId="65AB6C77">
      <w:pPr>
        <w:pStyle w:val="4"/>
        <w:shd w:val="clear" w:color="auto" w:fill="FFFFFF"/>
        <w:spacing w:before="0" w:beforeAutospacing="0" w:after="0" w:afterAutospacing="0" w:line="312" w:lineRule="auto"/>
        <w:ind w:firstLine="514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Style w:val="7"/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Style w:val="7"/>
          <w:rFonts w:hint="eastAsia" w:ascii="PingFang SC-Regular" w:hAnsi="PingFang SC-Regular"/>
          <w:color w:val="1B1C21"/>
          <w:spacing w:val="8"/>
        </w:rPr>
        <w:instrText xml:space="preserve"> = 3 \* GB3 </w:instrText>
      </w:r>
      <w:r>
        <w:rPr>
          <w:rStyle w:val="7"/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Style w:val="7"/>
          <w:rFonts w:hint="eastAsia" w:ascii="PingFang SC-Regular" w:hAnsi="PingFang SC-Regular"/>
          <w:color w:val="1B1C21"/>
          <w:spacing w:val="8"/>
        </w:rPr>
        <w:t>③</w:t>
      </w:r>
      <w:r>
        <w:rPr>
          <w:rStyle w:val="7"/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Style w:val="7"/>
          <w:rFonts w:ascii="PingFang SC-Regular" w:hAnsi="PingFang SC-Regular"/>
          <w:color w:val="1B1C21"/>
          <w:spacing w:val="8"/>
        </w:rPr>
        <w:t>解码过程</w:t>
      </w:r>
    </w:p>
    <w:p w14:paraId="7C6CECCA">
      <w:pPr>
        <w:shd w:val="clear" w:color="auto" w:fill="FFFFFF"/>
        <w:spacing w:line="312" w:lineRule="auto"/>
        <w:ind w:firstLine="514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Style w:val="7"/>
          <w:rFonts w:ascii="PingFang SC-Regular" w:hAnsi="PingFang SC-Regular"/>
          <w:color w:val="1B1C21"/>
          <w:spacing w:val="8"/>
        </w:rPr>
        <w:t>接收端接收到编码码字后，首先进行CRC解码</w:t>
      </w:r>
      <w:r>
        <w:rPr>
          <w:rFonts w:ascii="PingFang SC-Regular" w:hAnsi="PingFang SC-Regular"/>
          <w:color w:val="1B1C21"/>
          <w:spacing w:val="8"/>
        </w:rPr>
        <w:t>：根据CRC码的生成多项式，对接收到的码字进行CRC校验计算。如果CRC校验正确，则认为码字在传输过程中没有发生错误，或者发生的错误在CRC码的纠错能力范围内；如果CRC校验错误，则说明码字可能存在错误，需要进一步进行BCH解码尝试纠错。</w:t>
      </w:r>
    </w:p>
    <w:p w14:paraId="79C5003C">
      <w:pPr>
        <w:shd w:val="clear" w:color="auto" w:fill="FFFFFF"/>
        <w:spacing w:line="312" w:lineRule="auto"/>
        <w:ind w:firstLine="514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Style w:val="7"/>
          <w:rFonts w:ascii="PingFang SC-Regular" w:hAnsi="PingFang SC-Regular"/>
          <w:color w:val="1B1C21"/>
          <w:spacing w:val="8"/>
        </w:rPr>
        <w:t>BCH解码</w:t>
      </w:r>
      <w:r>
        <w:rPr>
          <w:rFonts w:ascii="PingFang SC-Regular" w:hAnsi="PingFang SC-Regular"/>
          <w:color w:val="1B1C21"/>
          <w:spacing w:val="8"/>
        </w:rPr>
        <w:t>：如果CRC校验正确或经过CRC纠错后，对接收到的码字进行BCH解码。根据BCH码的生成多项式和纠错算法，找出并纠正码字中的错误位，得到原始的信息序列。</w:t>
      </w:r>
    </w:p>
    <w:p w14:paraId="15A6EB92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CRC-BCH串联编码算法能够提高数据传输的可靠性和准确性</w:t>
      </w:r>
    </w:p>
    <w:p w14:paraId="3FA7F790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（3）利用无线传输技术，如蓝牙、Wi-Fi、ZigBee等，进行传输到计算机。</w:t>
      </w:r>
    </w:p>
    <w:p w14:paraId="29D119A5">
      <w:pPr>
        <w:spacing w:line="312" w:lineRule="auto"/>
        <w:jc w:val="center"/>
        <w:rPr>
          <w:rFonts w:hint="eastAsia"/>
        </w:rPr>
      </w:pPr>
      <w:r>
        <w:drawing>
          <wp:inline distT="0" distB="0" distL="0" distR="0">
            <wp:extent cx="5105400" cy="906145"/>
            <wp:effectExtent l="0" t="0" r="0" b="8255"/>
            <wp:docPr id="3" name="图片 66" descr="4ac03cf43f94a49f68309b1bedc4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6" descr="4ac03cf43f94a49f68309b1bedc4a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E6A6">
      <w:pPr>
        <w:spacing w:line="312" w:lineRule="auto"/>
        <w:rPr>
          <w:rFonts w:hint="eastAsia"/>
          <w:b/>
          <w:bCs/>
        </w:rPr>
      </w:pPr>
      <w:bookmarkStart w:id="0" w:name="OLE_LINK6"/>
      <w:r>
        <w:rPr>
          <w:rFonts w:hint="eastAsia"/>
          <w:b/>
          <w:bCs/>
        </w:rPr>
        <w:t>2、虚拟现实（VR）低延迟交互技术</w:t>
      </w:r>
    </w:p>
    <w:p w14:paraId="0FBB77BA">
      <w:pPr>
        <w:spacing w:line="312" w:lineRule="auto"/>
        <w:ind w:firstLine="480" w:firstLineChars="200"/>
        <w:rPr>
          <w:rFonts w:hint="eastAsia"/>
        </w:rPr>
      </w:pPr>
      <w:r>
        <w:rPr>
          <w:rFonts w:hint="eastAsia"/>
        </w:rPr>
        <w:t>我们拟使用飞睿UWB的低延迟技术，以其为基础来建立及优化我们的虚拟现实低延迟交互技术，将其技术嵌入我们的应用中。</w:t>
      </w:r>
    </w:p>
    <w:p w14:paraId="25ECD325">
      <w:pPr>
        <w:spacing w:line="312" w:lineRule="auto"/>
        <w:ind w:firstLine="480" w:firstLineChars="200"/>
        <w:rPr>
          <w:rFonts w:hint="eastAsia"/>
        </w:rPr>
      </w:pPr>
      <w:r>
        <w:rPr>
          <w:rFonts w:hint="eastAsia"/>
        </w:rPr>
        <w:t>UWB</w:t>
      </w:r>
      <w:r>
        <w:t>，即超宽带</w:t>
      </w:r>
      <w:r>
        <w:rPr>
          <w:rFonts w:hint="eastAsia"/>
        </w:rPr>
        <w:t>（Ultra-Wideband）是一种无线通信技术，它使用超宽的频段发信号，精确度极高，能测距到厘米级，并且反应快，延迟低，抗干扰能力强。</w:t>
      </w:r>
    </w:p>
    <w:p w14:paraId="096CEB3E">
      <w:pPr>
        <w:spacing w:line="312" w:lineRule="auto"/>
        <w:rPr>
          <w:rFonts w:hint="eastAsia" w:ascii="PingFang SC-Regular" w:hAnsi="PingFang SC-Regular"/>
          <w:b/>
          <w:bCs/>
          <w:color w:val="1B1C21"/>
        </w:rPr>
      </w:pPr>
      <w:r>
        <w:rPr>
          <w:rFonts w:hint="eastAsia" w:ascii="PingFang SC-Regular" w:hAnsi="PingFang SC-Regular"/>
          <w:b/>
          <w:bCs/>
          <w:color w:val="1B1C21"/>
        </w:rPr>
        <w:fldChar w:fldCharType="begin"/>
      </w:r>
      <w:r>
        <w:rPr>
          <w:rFonts w:hint="eastAsia" w:ascii="PingFang SC-Regular" w:hAnsi="PingFang SC-Regular"/>
          <w:b/>
          <w:bCs/>
          <w:color w:val="1B1C21"/>
        </w:rPr>
        <w:instrText xml:space="preserve"> = 1 \* GB2 </w:instrText>
      </w:r>
      <w:r>
        <w:rPr>
          <w:rFonts w:hint="eastAsia" w:ascii="PingFang SC-Regular" w:hAnsi="PingFang SC-Regular"/>
          <w:b/>
          <w:bCs/>
          <w:color w:val="1B1C21"/>
        </w:rPr>
        <w:fldChar w:fldCharType="separate"/>
      </w:r>
      <w:r>
        <w:rPr>
          <w:rFonts w:hint="eastAsia" w:ascii="PingFang SC-Regular" w:hAnsi="PingFang SC-Regular"/>
          <w:b/>
          <w:bCs/>
          <w:color w:val="1B1C21"/>
        </w:rPr>
        <w:t>⑴</w:t>
      </w:r>
      <w:r>
        <w:rPr>
          <w:rFonts w:hint="eastAsia" w:ascii="PingFang SC-Regular" w:hAnsi="PingFang SC-Regular"/>
          <w:b/>
          <w:bCs/>
          <w:color w:val="1B1C21"/>
        </w:rPr>
        <w:fldChar w:fldCharType="end"/>
      </w:r>
      <w:r>
        <w:rPr>
          <w:rFonts w:ascii="PingFang SC-Regular" w:hAnsi="PingFang SC-Regular"/>
          <w:b/>
          <w:bCs/>
          <w:color w:val="1B1C21"/>
        </w:rPr>
        <w:t>硬件层面优化</w:t>
      </w:r>
    </w:p>
    <w:p w14:paraId="328950DD">
      <w:pPr>
        <w:shd w:val="clear" w:color="auto" w:fill="FFFFFF"/>
        <w:spacing w:line="312" w:lineRule="auto"/>
        <w:ind w:firstLine="514" w:firstLineChars="200"/>
        <w:rPr>
          <w:rFonts w:hint="eastAsia" w:ascii="PingFang SC-Regular" w:hAnsi="PingFang SC-Regular"/>
          <w:color w:val="1B1C21"/>
          <w:spacing w:val="8"/>
          <w:vertAlign w:val="superscript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b/>
          <w:bCs/>
          <w:color w:val="1B1C21"/>
          <w:spacing w:val="8"/>
        </w:rPr>
        <w:instrText xml:space="preserve"> = 1 \* GB3 </w:instrTex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①</w: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飞睿UWB</w:t>
      </w:r>
      <w:r>
        <w:rPr>
          <w:rFonts w:ascii="PingFang SC-Regular" w:hAnsi="PingFang SC-Regular"/>
          <w:b/>
          <w:bCs/>
          <w:color w:val="1B1C21"/>
          <w:spacing w:val="8"/>
        </w:rPr>
        <w:t>的低延迟技术</w:t>
      </w:r>
      <w:r>
        <w:rPr>
          <w:rFonts w:ascii="PingFang SC-Regular" w:hAnsi="PingFang SC-Regular"/>
          <w:color w:val="1B1C21"/>
          <w:spacing w:val="8"/>
        </w:rPr>
        <w:t xml:space="preserve"> </w:t>
      </w:r>
      <w:r>
        <w:rPr>
          <w:rFonts w:hint="eastAsia" w:ascii="PingFang SC-Regular" w:hAnsi="PingFang SC-Regular"/>
          <w:color w:val="1B1C21"/>
          <w:spacing w:val="8"/>
          <w:vertAlign w:val="superscript"/>
        </w:rPr>
        <w:t>[10]</w:t>
      </w:r>
    </w:p>
    <w:p w14:paraId="58EFEF9F">
      <w:pPr>
        <w:shd w:val="clear" w:color="auto" w:fill="FFFFFF"/>
        <w:spacing w:line="312" w:lineRule="auto"/>
        <w:ind w:firstLine="257" w:firstLineChars="1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t>I.</w:t>
      </w:r>
      <w:r>
        <w:rPr>
          <w:rFonts w:hint="eastAsia" w:ascii="PingFang SC-Regular" w:hAnsi="PingFang SC-Regular"/>
          <w:color w:val="1B1C21"/>
          <w:spacing w:val="8"/>
        </w:rPr>
        <w:t>从物理层重构VR交互逻辑：</w:t>
      </w:r>
    </w:p>
    <w:p w14:paraId="07C88F97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飞睿UWB技术通过纳秒级窄脉冲信号与多维度算法融合，构建了VR交互的时空基准坐标系。其核心突破在于：</w:t>
      </w:r>
    </w:p>
    <w:p w14:paraId="34394BC1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a.亚毫秒级动态追踪：采用飞行时间（TOF）与到达角（AOA）双算法，实时捕捉手柄、手套等设备的三维空间坐标，定位精度达&lt;5cm，同步延迟&lt;10ms。相较于传统光学定位技术（延迟30-50ms），动作捕捉效率提升5倍以上。</w:t>
      </w:r>
    </w:p>
    <w:p w14:paraId="151BF1EC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b.全链路低延迟架构：从信号发射、数据处理到画面渲染，飞睿通过22nm制程SIP芯片集成射频前端与天线系统，将端到端延迟压缩至人眼感知阈值（约15ms）以下，彻底消除画面拖影</w:t>
      </w:r>
    </w:p>
    <w:p w14:paraId="6C1CB729">
      <w:pPr>
        <w:shd w:val="clear" w:color="auto" w:fill="FFFFFF"/>
        <w:spacing w:line="312" w:lineRule="auto"/>
        <w:ind w:firstLine="257" w:firstLineChars="1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t>II</w:t>
      </w:r>
      <w:r>
        <w:rPr>
          <w:rFonts w:hint="eastAsia" w:ascii="PingFang SC-Regular" w:hAnsi="PingFang SC-Regular"/>
          <w:color w:val="1B1C21"/>
          <w:spacing w:val="8"/>
        </w:rPr>
        <w:t>.AI</w:t>
      </w:r>
      <w:r>
        <w:rPr>
          <w:rFonts w:ascii="PingFang SC-Regular" w:hAnsi="PingFang SC-Regular"/>
          <w:color w:val="1B1C21"/>
          <w:spacing w:val="8"/>
        </w:rPr>
        <w:t>预渲染引擎：突破生理延迟的“时空折叠术”</w:t>
      </w:r>
    </w:p>
    <w:p w14:paraId="24AB843A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为应对复杂动作场景的瞬时响应需求，飞睿创新性地</w:t>
      </w:r>
      <w:bookmarkStart w:id="1" w:name="OLE_LINK3"/>
      <w:r>
        <w:rPr>
          <w:rFonts w:ascii="PingFang SC-Regular" w:hAnsi="PingFang SC-Regular"/>
          <w:color w:val="1B1C21"/>
          <w:spacing w:val="8"/>
        </w:rPr>
        <w:t>将UWB与AI行为预测算法结合</w:t>
      </w:r>
      <w:r>
        <w:rPr>
          <w:rFonts w:hint="eastAsia" w:ascii="PingFang SC-Regular" w:hAnsi="PingFang SC-Regular"/>
          <w:color w:val="1B1C21"/>
          <w:spacing w:val="8"/>
        </w:rPr>
        <w:t>，通过预测来对“负延迟”进行补偿</w:t>
      </w:r>
      <w:bookmarkEnd w:id="1"/>
      <w:r>
        <w:rPr>
          <w:rFonts w:ascii="PingFang SC-Regular" w:hAnsi="PingFang SC-Regular"/>
          <w:color w:val="1B1C21"/>
          <w:spacing w:val="8"/>
        </w:rPr>
        <w:t>：</w:t>
      </w:r>
    </w:p>
    <w:p w14:paraId="62FC60F0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a.</w:t>
      </w:r>
      <w:r>
        <w:rPr>
          <w:rFonts w:ascii="PingFang SC-Regular" w:hAnsi="PingFang SC-Regular"/>
          <w:color w:val="1B1C21"/>
          <w:spacing w:val="8"/>
        </w:rPr>
        <w:t>300ms动作预判：基于深度学习模型分析用户历史轨迹，提前预测拳击挥拳、器械抓握等动作趋势，实现画面渲染的“负延迟”补偿。</w:t>
      </w:r>
    </w:p>
    <w:p w14:paraId="071FB60D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b.</w:t>
      </w:r>
      <w:r>
        <w:rPr>
          <w:rFonts w:ascii="PingFang SC-Regular" w:hAnsi="PingFang SC-Regular"/>
          <w:color w:val="1B1C21"/>
          <w:spacing w:val="8"/>
        </w:rPr>
        <w:t>动态资源调度：通过UWB实时反馈的空间坐标，AI引擎智能分配算力资源，优先渲染用户视野焦点区域，降低</w:t>
      </w:r>
      <w:r>
        <w:fldChar w:fldCharType="begin"/>
      </w:r>
      <w:r>
        <w:instrText xml:space="preserve">HYPERLINK "https://cloud.tencent.com/product/gpu?from=20067&amp;from_column=20067" \t "_blank"</w:instrText>
      </w:r>
      <w:r>
        <w:rPr>
          <w:rFonts w:hint="eastAsia"/>
        </w:rPr>
        <w:fldChar w:fldCharType="separate"/>
      </w:r>
      <w:r>
        <w:rPr>
          <w:rFonts w:ascii="PingFang SC-Regular" w:hAnsi="PingFang SC-Regular"/>
          <w:color w:val="467886"/>
          <w:spacing w:val="8"/>
          <w:u w:val="single"/>
        </w:rPr>
        <w:t>GPU</w:t>
      </w:r>
      <w:r>
        <w:fldChar w:fldCharType="end"/>
      </w:r>
      <w:r>
        <w:rPr>
          <w:rFonts w:ascii="PingFang SC-Regular" w:hAnsi="PingFang SC-Regular"/>
          <w:color w:val="1B1C21"/>
          <w:spacing w:val="8"/>
        </w:rPr>
        <w:t>负载的同时维持90Hz以上刷新率。</w:t>
      </w:r>
    </w:p>
    <w:p w14:paraId="6697C28C">
      <w:pPr>
        <w:shd w:val="clear" w:color="auto" w:fill="FFFFFF"/>
        <w:spacing w:line="312" w:lineRule="auto"/>
        <w:ind w:firstLine="257" w:firstLineChars="1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t>III.</w:t>
      </w:r>
      <w:r>
        <w:rPr>
          <w:rFonts w:hint="eastAsia" w:ascii="PingFang SC-Regular" w:hAnsi="PingFang SC-Regular"/>
          <w:color w:val="1B1C21"/>
          <w:spacing w:val="8"/>
        </w:rPr>
        <w:t>抗干扰体系：复杂环境下的稳定保障</w:t>
      </w:r>
    </w:p>
    <w:p w14:paraId="670F6D0B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在多人协作、大空间自由行走等场景中，飞睿UWB通过三大技术确保交互稳定性，防止在多人协作下出现不可抗的干扰因素：</w:t>
      </w:r>
    </w:p>
    <w:p w14:paraId="55D72652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a.3.1-10.6GHz超宽频带：自适应跳频机制规避Wi-Fi/蓝牙干扰，多设备并发场景下仍保持定位精度。</w:t>
      </w:r>
    </w:p>
    <w:p w14:paraId="39E60423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b.相控阵天线阵列：8发4收天线设计提升信号覆盖至100米，墙体遮挡环境下定位误差仍&lt;10cm。</w:t>
      </w:r>
    </w:p>
    <w:p w14:paraId="48397F37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c.国密级加密协议：动态密钥与匿名ID技术保障动作数据安全，防止位置信息泄露</w:t>
      </w:r>
    </w:p>
    <w:p w14:paraId="60D24C47">
      <w:pPr>
        <w:shd w:val="clear" w:color="auto" w:fill="FFFFFF"/>
        <w:spacing w:line="312" w:lineRule="auto"/>
        <w:ind w:firstLine="257" w:firstLineChars="1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t>IV.</w:t>
      </w:r>
      <w:r>
        <w:rPr>
          <w:rFonts w:hint="eastAsia" w:ascii="PingFang SC-Regular" w:hAnsi="PingFang SC-Regular"/>
          <w:color w:val="1B1C21"/>
          <w:spacing w:val="8"/>
        </w:rPr>
        <w:t>行业革新：重新定义VR交互标准</w:t>
      </w:r>
    </w:p>
    <w:p w14:paraId="7EC51DD3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飞睿UWB技术正在推动VR产业实现三大跃迁：</w:t>
      </w:r>
    </w:p>
    <w:p w14:paraId="6B162647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a.硬件轻量化：7×7mm微型SIP模组，续航延长至72小时。</w:t>
      </w:r>
    </w:p>
    <w:p w14:paraId="4BC77119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b.场景无界化：支持1000㎡空间覆盖，电子围栏预警精度达10cm，解锁自由移动式VR体验。</w:t>
      </w:r>
    </w:p>
    <w:p w14:paraId="3D4A96F0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c.生态智能化：通过IEEE802.15.4z协议与主流VR平台无缝对接，构建跨设备交互的元宇宙入口。</w:t>
      </w:r>
    </w:p>
    <w:p w14:paraId="718D3A45">
      <w:pPr>
        <w:shd w:val="clear" w:color="auto" w:fill="FFFFFF"/>
        <w:spacing w:line="312" w:lineRule="auto"/>
        <w:ind w:firstLine="514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b/>
          <w:bCs/>
          <w:color w:val="1B1C21"/>
          <w:spacing w:val="8"/>
        </w:rPr>
        <w:instrText xml:space="preserve"> = 2 \* GB3 </w:instrTex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②</w: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end"/>
      </w:r>
      <w:r>
        <w:rPr>
          <w:rFonts w:ascii="PingFang SC-Regular" w:hAnsi="PingFang SC-Regular"/>
          <w:b/>
          <w:bCs/>
          <w:color w:val="1B1C21"/>
          <w:spacing w:val="8"/>
        </w:rPr>
        <w:t>硬件加速模块</w:t>
      </w:r>
    </w:p>
    <w:p w14:paraId="5201550A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在VR设备中加入专门的图形处理加速单元（GPGPU）和神经网络加速引擎（NPU），针对VR图形渲染中的多边形处理、纹理映射、光影效果计算以及手势识别、场景理解等人工智能算法进行硬件加速。通过硬件加速，将图形渲染延迟降低至1ms以内，人工智能算法处理延迟控制在5ms以内。</w:t>
      </w:r>
    </w:p>
    <w:p w14:paraId="182830BC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= 2 \* GB2 </w:instrText>
      </w:r>
      <w:r>
        <w:rPr>
          <w:rFonts w:hint="eastAsia"/>
          <w:b/>
          <w:bCs/>
        </w:rPr>
        <w:fldChar w:fldCharType="separate"/>
      </w:r>
      <w:r>
        <w:rPr>
          <w:rFonts w:hint="eastAsia"/>
          <w:b/>
          <w:bCs/>
        </w:rPr>
        <w:t>⑵</w: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t>软件层面优化</w:t>
      </w:r>
    </w:p>
    <w:p w14:paraId="58E25671">
      <w:pPr>
        <w:spacing w:line="312" w:lineRule="auto"/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= 1 \* GB3 </w:instrText>
      </w:r>
      <w:r>
        <w:rPr>
          <w:rFonts w:hint="eastAsia"/>
          <w:b/>
          <w:bCs/>
        </w:rPr>
        <w:fldChar w:fldCharType="separate"/>
      </w:r>
      <w:r>
        <w:rPr>
          <w:rFonts w:hint="eastAsia"/>
          <w:b/>
          <w:bCs/>
        </w:rPr>
        <w:t>①</w:t>
      </w:r>
      <w:r>
        <w:rPr>
          <w:rFonts w:hint="eastAsia"/>
          <w:b/>
          <w:bCs/>
        </w:rPr>
        <w:fldChar w:fldCharType="end"/>
      </w:r>
      <w:r>
        <w:rPr>
          <w:rFonts w:ascii="PingFang SC-Regular" w:hAnsi="PingFang SC-Regular"/>
          <w:b/>
          <w:bCs/>
          <w:spacing w:val="8"/>
        </w:rPr>
        <w:t>实时操作系统定制</w:t>
      </w:r>
    </w:p>
    <w:p w14:paraId="7E1B0517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基于Linux等开源操作系统开发定制的VR实时操作系统内核，采用实时调度算法（如最早截止时间优先EDF算法），确保关键任务（如传感器数据处理、图形渲染）能够优先获得处理器资源，满足其严格的时间要求。将系统中断响应时间缩短至10μs以内，保证传感器数据的及时采集和处理。</w:t>
      </w:r>
    </w:p>
    <w:p w14:paraId="6D9F2D9A">
      <w:pPr>
        <w:shd w:val="clear" w:color="auto" w:fill="FFFFFF"/>
        <w:spacing w:line="312" w:lineRule="auto"/>
        <w:ind w:firstLine="514" w:firstLineChars="200"/>
        <w:rPr>
          <w:rFonts w:hint="eastAsia" w:ascii="PingFang SC-Regular" w:hAnsi="PingFang SC-Regular"/>
          <w:b/>
          <w:bCs/>
          <w:color w:val="1B1C21"/>
          <w:spacing w:val="8"/>
        </w:rPr>
      </w:pPr>
      <w:r>
        <w:rPr>
          <w:rFonts w:ascii="PingFang SC-Regular" w:hAnsi="PingFang SC-Regular"/>
          <w:b/>
          <w:bCs/>
          <w:spacing w:val="8"/>
        </w:rPr>
        <w:fldChar w:fldCharType="begin"/>
      </w:r>
      <w:r>
        <w:rPr>
          <w:rFonts w:ascii="PingFang SC-Regular" w:hAnsi="PingFang SC-Regular"/>
          <w:b/>
          <w:bCs/>
          <w:spacing w:val="8"/>
        </w:rPr>
        <w:instrText xml:space="preserve"> = 2 \* GB3 </w:instrText>
      </w:r>
      <w:r>
        <w:rPr>
          <w:rFonts w:ascii="PingFang SC-Regular" w:hAnsi="PingFang SC-Regular"/>
          <w:b/>
          <w:bCs/>
          <w:spacing w:val="8"/>
        </w:rPr>
        <w:fldChar w:fldCharType="separate"/>
      </w:r>
      <w:r>
        <w:rPr>
          <w:rFonts w:ascii="PingFang SC-Regular" w:hAnsi="PingFang SC-Regular"/>
          <w:b/>
          <w:bCs/>
          <w:spacing w:val="8"/>
        </w:rPr>
        <w:t>②</w:t>
      </w:r>
      <w:r>
        <w:rPr>
          <w:rFonts w:ascii="PingFang SC-Regular" w:hAnsi="PingFang SC-Regular"/>
          <w:b/>
          <w:bCs/>
          <w:spacing w:val="8"/>
        </w:rPr>
        <w:fldChar w:fldCharType="end"/>
      </w:r>
      <w:r>
        <w:rPr>
          <w:rFonts w:ascii="PingFang SC-Regular" w:hAnsi="PingFang SC-Regular"/>
          <w:b/>
          <w:bCs/>
          <w:spacing w:val="8"/>
        </w:rPr>
        <w:t>高效图形渲染引擎</w:t>
      </w:r>
    </w:p>
    <w:p w14:paraId="0EA55CAB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采用基于物理的渲染（PBR）算法，结合实时全局光照技术（如预计算光照贴图、实时光线追踪等），在保证画面质量的前提下，提高渲染效率。通过对场景中的几何模型进行简化处理（如使用LOD技术），根据物体与摄像机的距离动态调整模型复杂度，减少不必要的多边形绘制数量。同时，利用GPU的实例化渲染功能，对场景中重复出现的对象（如树木、建筑物等）进行高效渲染，降低GPU的绘图调用开销。</w:t>
      </w:r>
    </w:p>
    <w:p w14:paraId="78E0B900">
      <w:pPr>
        <w:shd w:val="clear" w:color="auto" w:fill="FFFFFF"/>
        <w:spacing w:line="312" w:lineRule="auto"/>
        <w:rPr>
          <w:rFonts w:hint="eastAsia" w:ascii="PingFang SC-Regular" w:hAnsi="PingFang SC-Regular"/>
          <w:b/>
          <w:bCs/>
          <w:spacing w:val="8"/>
        </w:rPr>
      </w:pPr>
      <w:r>
        <w:rPr>
          <w:rFonts w:ascii="PingFang SC-Regular" w:hAnsi="PingFang SC-Regular"/>
          <w:b/>
          <w:bCs/>
          <w:spacing w:val="8"/>
        </w:rPr>
        <w:fldChar w:fldCharType="begin"/>
      </w:r>
      <w:r>
        <w:rPr>
          <w:rFonts w:ascii="PingFang SC-Regular" w:hAnsi="PingFang SC-Regular"/>
          <w:b/>
          <w:bCs/>
          <w:spacing w:val="8"/>
        </w:rPr>
        <w:instrText xml:space="preserve"> = 3 \* GB2 </w:instrText>
      </w:r>
      <w:r>
        <w:rPr>
          <w:rFonts w:ascii="PingFang SC-Regular" w:hAnsi="PingFang SC-Regular"/>
          <w:b/>
          <w:bCs/>
          <w:spacing w:val="8"/>
        </w:rPr>
        <w:fldChar w:fldCharType="separate"/>
      </w:r>
      <w:r>
        <w:rPr>
          <w:rFonts w:hint="eastAsia" w:cs="宋体"/>
          <w:b/>
          <w:bCs/>
          <w:spacing w:val="8"/>
        </w:rPr>
        <w:t>⑶</w:t>
      </w:r>
      <w:r>
        <w:rPr>
          <w:rFonts w:ascii="PingFang SC-Regular" w:hAnsi="PingFang SC-Regular"/>
          <w:b/>
          <w:bCs/>
          <w:spacing w:val="8"/>
        </w:rPr>
        <w:fldChar w:fldCharType="end"/>
      </w:r>
      <w:r>
        <w:rPr>
          <w:rFonts w:ascii="PingFang SC-Regular" w:hAnsi="PingFang SC-Regular"/>
          <w:b/>
          <w:bCs/>
          <w:spacing w:val="8"/>
        </w:rPr>
        <w:t>预测性交互算法</w:t>
      </w:r>
    </w:p>
    <w:p w14:paraId="60262DA2">
      <w:pPr>
        <w:shd w:val="clear" w:color="auto" w:fill="FFFFFF"/>
        <w:spacing w:line="312" w:lineRule="auto"/>
        <w:ind w:firstLine="514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b/>
          <w:bCs/>
          <w:color w:val="1B1C21"/>
          <w:spacing w:val="8"/>
        </w:rPr>
        <w:t>动作预测模型</w:t>
      </w:r>
    </w:p>
    <w:p w14:paraId="33B18AC6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以</w:t>
      </w:r>
      <w:bookmarkStart w:id="2" w:name="OLE_LINK5"/>
      <w:r>
        <w:rPr>
          <w:rFonts w:hint="eastAsia" w:ascii="PingFang SC-Regular" w:hAnsi="PingFang SC-Regular"/>
          <w:color w:val="1B1C21"/>
          <w:spacing w:val="8"/>
        </w:rPr>
        <w:t>飞睿UWB</w:t>
      </w:r>
      <w:r>
        <w:rPr>
          <w:rFonts w:ascii="PingFang SC-Regular" w:hAnsi="PingFang SC-Regular"/>
          <w:color w:val="1B1C21"/>
          <w:spacing w:val="8"/>
        </w:rPr>
        <w:t>低延迟技术为基础，</w:t>
      </w:r>
      <w:bookmarkEnd w:id="2"/>
      <w:r>
        <w:rPr>
          <w:rFonts w:ascii="PingFang SC-Regular" w:hAnsi="PingFang SC-Regular"/>
          <w:color w:val="1B1C21"/>
          <w:spacing w:val="8"/>
        </w:rPr>
        <w:t>将UWB与AI行为预测算法结合</w:t>
      </w:r>
      <w:r>
        <w:rPr>
          <w:rFonts w:hint="eastAsia" w:ascii="PingFang SC-Regular" w:hAnsi="PingFang SC-Regular"/>
          <w:color w:val="1B1C21"/>
          <w:spacing w:val="8"/>
        </w:rPr>
        <w:t>，通过预测来对时间延迟损耗进行补偿</w:t>
      </w:r>
      <w:r>
        <w:rPr>
          <w:rFonts w:ascii="PingFang SC-Regular" w:hAnsi="PingFang SC-Regular"/>
          <w:color w:val="1B1C21"/>
          <w:spacing w:val="8"/>
        </w:rPr>
        <w:t>，通过对大量的用户交互数据（包括头部运动、手部操作、身体姿态等）进行学习和分析，预测用户下一步的操作意图。例如，采用循环神经网络（RNN）及其变体（如LSTM、GRU）来处理时间序列数据，根据用户过去的动作序列预测未来一段时间内的动作轨迹。通过不断优化模型参数和训练数据，提高预测准确率至80%以上。</w:t>
      </w:r>
    </w:p>
    <w:bookmarkEnd w:id="0"/>
    <w:p w14:paraId="6FAF5179">
      <w:pPr>
        <w:shd w:val="clear" w:color="auto" w:fill="FFFFFF"/>
        <w:spacing w:line="312" w:lineRule="auto"/>
        <w:rPr>
          <w:rFonts w:hint="eastAsia" w:ascii="PingFang SC-Regular" w:hAnsi="PingFang SC-Regular"/>
          <w:b/>
          <w:bCs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t>3、</w:t>
      </w:r>
      <w:r>
        <w:rPr>
          <w:rFonts w:ascii="PingFang SC-Regular" w:hAnsi="PingFang SC-Regular"/>
          <w:b/>
          <w:bCs/>
          <w:color w:val="1B1C21"/>
          <w:spacing w:val="8"/>
        </w:rPr>
        <w:t>LAN多模态交互技术的技术路线</w:t>
      </w:r>
    </w:p>
    <w:p w14:paraId="33D5845F">
      <w:pPr>
        <w:shd w:val="clear" w:color="auto" w:fill="FFFFFF"/>
        <w:spacing w:line="312" w:lineRule="auto"/>
        <w:jc w:val="center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drawing>
          <wp:inline distT="0" distB="0" distL="0" distR="0">
            <wp:extent cx="4076700" cy="1866900"/>
            <wp:effectExtent l="0" t="0" r="0" b="0"/>
            <wp:docPr id="9473744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4446" name="图片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3FC44">
      <w:pPr>
        <w:shd w:val="clear" w:color="auto" w:fill="FFFFFF"/>
        <w:spacing w:line="312" w:lineRule="auto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b/>
          <w:bCs/>
          <w:color w:val="1B1C21"/>
          <w:spacing w:val="8"/>
        </w:rPr>
        <w:instrText xml:space="preserve"> = 1 \* GB2 </w:instrTex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⑴</w: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end"/>
      </w:r>
      <w:r>
        <w:rPr>
          <w:rFonts w:ascii="PingFang SC-Regular" w:hAnsi="PingFang SC-Regular"/>
          <w:b/>
          <w:bCs/>
          <w:color w:val="1B1C21"/>
          <w:spacing w:val="8"/>
        </w:rPr>
        <w:t>头戴设备与上位机连接</w:t>
      </w:r>
    </w:p>
    <w:p w14:paraId="483188AE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使用标准线缆（如HDMI、USB-C等）将头戴设备连接到上位机。确保线缆支持高速数据传输，以保障音频和视频信号的流畅传输。</w:t>
      </w:r>
    </w:p>
    <w:p w14:paraId="2F555C18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在上位机上安装必要的驱动程序和软件，以实现对头戴设备的识别和支持。</w:t>
      </w:r>
    </w:p>
    <w:p w14:paraId="78BAD93C">
      <w:pPr>
        <w:shd w:val="clear" w:color="auto" w:fill="FFFFFF"/>
        <w:spacing w:line="312" w:lineRule="auto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b/>
          <w:bCs/>
          <w:color w:val="1B1C21"/>
          <w:spacing w:val="8"/>
        </w:rPr>
        <w:instrText xml:space="preserve"> = 2 \* GB2 </w:instrTex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⑵</w: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end"/>
      </w:r>
      <w:r>
        <w:rPr>
          <w:rFonts w:ascii="PingFang SC-Regular" w:hAnsi="PingFang SC-Regular"/>
          <w:b/>
          <w:bCs/>
          <w:color w:val="1B1C21"/>
          <w:spacing w:val="8"/>
        </w:rPr>
        <w:t>音频信号传输路径设计</w:t>
      </w:r>
    </w:p>
    <w:p w14:paraId="332CCECE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从上位机输出的音频信号，通过专门的音频接口（如3.5mm耳机插孔、光纤音频输出等）传输到头戴设备。</w:t>
      </w:r>
    </w:p>
    <w:p w14:paraId="59067FFD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在头戴设备内部，音频信号被分配到不同的声道和扬声器，包括位于头部显示器两侧的耳机（(RH)表示右耳机）。</w:t>
      </w:r>
    </w:p>
    <w:p w14:paraId="6968EDDD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为了增强沉浸感，可以集成多模态音频技术，如环绕声、立体声等，以模拟真实的三维空间音效。</w:t>
      </w:r>
    </w:p>
    <w:p w14:paraId="797A3922">
      <w:pPr>
        <w:shd w:val="clear" w:color="auto" w:fill="FFFFFF"/>
        <w:spacing w:line="312" w:lineRule="auto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b/>
          <w:bCs/>
          <w:color w:val="1B1C21"/>
          <w:spacing w:val="8"/>
        </w:rPr>
        <w:instrText xml:space="preserve"> = 3 \* GB2 </w:instrTex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⑶</w: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end"/>
      </w:r>
      <w:r>
        <w:rPr>
          <w:rFonts w:ascii="PingFang SC-Regular" w:hAnsi="PingFang SC-Regular"/>
          <w:b/>
          <w:bCs/>
          <w:color w:val="1B1C21"/>
          <w:spacing w:val="8"/>
        </w:rPr>
        <w:t>网络接入与数据传输</w:t>
      </w:r>
    </w:p>
    <w:p w14:paraId="60EEC53C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利用局域网（LAN）技术，为头戴设备提供稳定的网络连接。这可以通过有线或无线方式实现：</w:t>
      </w:r>
    </w:p>
    <w:p w14:paraId="4311809D">
      <w:pPr>
        <w:shd w:val="clear" w:color="auto" w:fill="FFFFFF"/>
        <w:spacing w:line="312" w:lineRule="auto"/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= 1 \* GB3 </w:instrText>
      </w:r>
      <w:r>
        <w:rPr>
          <w:rFonts w:hint="eastAsia"/>
          <w:b/>
          <w:bCs/>
        </w:rPr>
        <w:fldChar w:fldCharType="separate"/>
      </w:r>
      <w:r>
        <w:rPr>
          <w:rFonts w:hint="eastAsia"/>
          <w:b/>
          <w:bCs/>
        </w:rPr>
        <w:t>①</w: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t>有线连接优化：</w:t>
      </w:r>
    </w:p>
    <w:p w14:paraId="117FDD81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color w:val="1B1C21"/>
          <w:spacing w:val="8"/>
        </w:rPr>
        <w:instrText xml:space="preserve"> = 1 \* ROMAN </w:instrText>
      </w:r>
      <w:r>
        <w:rPr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color w:val="1B1C21"/>
          <w:spacing w:val="8"/>
        </w:rPr>
        <w:t>I</w:t>
      </w:r>
      <w:r>
        <w:rPr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color w:val="1B1C21"/>
          <w:spacing w:val="8"/>
        </w:rPr>
        <w:t>.</w:t>
      </w:r>
      <w:r>
        <w:rPr>
          <w:rFonts w:hint="eastAsia"/>
        </w:rPr>
        <w:t xml:space="preserve"> </w:t>
      </w:r>
      <w:r>
        <w:rPr>
          <w:rFonts w:hint="eastAsia" w:ascii="PingFang SC-Regular" w:hAnsi="PingFang SC-Regular"/>
          <w:color w:val="1B1C21"/>
          <w:spacing w:val="8"/>
        </w:rPr>
        <w:t>使用Cat8类屏蔽双绞线（40Gb/s，2GHz带宽）。</w:t>
      </w:r>
    </w:p>
    <w:p w14:paraId="716168DD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color w:val="1B1C21"/>
          <w:spacing w:val="8"/>
        </w:rPr>
        <w:instrText xml:space="preserve"> = 2 \* ROMAN </w:instrText>
      </w:r>
      <w:r>
        <w:rPr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color w:val="1B1C21"/>
          <w:spacing w:val="8"/>
        </w:rPr>
        <w:t>II</w:t>
      </w:r>
      <w:r>
        <w:rPr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color w:val="1B1C21"/>
          <w:spacing w:val="8"/>
        </w:rPr>
        <w:t>.</w:t>
      </w:r>
      <w:r>
        <w:rPr>
          <w:rFonts w:hint="eastAsia"/>
        </w:rPr>
        <w:t xml:space="preserve"> </w:t>
      </w:r>
      <w:r>
        <w:rPr>
          <w:rFonts w:hint="eastAsia" w:ascii="PingFang SC-Regular" w:hAnsi="PingFang SC-Regular"/>
          <w:color w:val="1B1C21"/>
          <w:spacing w:val="8"/>
        </w:rPr>
        <w:t>部署光纤介质转换器（单模光纤，延迟&lt;0.5μs/km）。</w:t>
      </w:r>
    </w:p>
    <w:p w14:paraId="4100DFAB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color w:val="1B1C21"/>
          <w:spacing w:val="8"/>
        </w:rPr>
        <w:instrText xml:space="preserve"> = 3 \* ROMAN </w:instrText>
      </w:r>
      <w:r>
        <w:rPr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color w:val="1B1C21"/>
          <w:spacing w:val="8"/>
        </w:rPr>
        <w:t>III</w:t>
      </w:r>
      <w:r>
        <w:rPr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color w:val="1B1C21"/>
          <w:spacing w:val="8"/>
        </w:rPr>
        <w:t>.</w:t>
      </w:r>
      <w:r>
        <w:rPr>
          <w:rFonts w:hint="eastAsia"/>
        </w:rPr>
        <w:t xml:space="preserve"> </w:t>
      </w:r>
      <w:r>
        <w:rPr>
          <w:rFonts w:hint="eastAsia" w:ascii="PingFang SC-Regular" w:hAnsi="PingFang SC-Regular"/>
          <w:color w:val="1B1C21"/>
          <w:spacing w:val="8"/>
        </w:rPr>
        <w:t>采用LACP链路聚合（4x1GbE聚合为4Gb逻辑通道）。</w:t>
      </w:r>
    </w:p>
    <w:p w14:paraId="599186D9">
      <w:pPr>
        <w:shd w:val="clear" w:color="auto" w:fill="FFFFFF"/>
        <w:spacing w:line="312" w:lineRule="auto"/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= 2 \* GB3 </w:instrText>
      </w:r>
      <w:r>
        <w:rPr>
          <w:rFonts w:hint="eastAsia"/>
          <w:b/>
          <w:bCs/>
        </w:rPr>
        <w:fldChar w:fldCharType="separate"/>
      </w:r>
      <w:r>
        <w:rPr>
          <w:rFonts w:hint="eastAsia"/>
          <w:b/>
          <w:bCs/>
        </w:rPr>
        <w:t>②</w: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t>无线优化（如使用Wi-Fi）:</w:t>
      </w:r>
    </w:p>
    <w:p w14:paraId="3EEF29F8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color w:val="1B1C21"/>
          <w:spacing w:val="8"/>
        </w:rPr>
        <w:instrText xml:space="preserve"> = 1 \* ROMAN </w:instrText>
      </w:r>
      <w:r>
        <w:rPr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color w:val="1B1C21"/>
          <w:spacing w:val="8"/>
        </w:rPr>
        <w:t>I</w:t>
      </w:r>
      <w:r>
        <w:rPr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color w:val="1B1C21"/>
          <w:spacing w:val="8"/>
        </w:rPr>
        <w:t>.</w:t>
      </w:r>
      <w:r>
        <w:rPr>
          <w:rFonts w:hint="eastAsia"/>
        </w:rPr>
        <w:t xml:space="preserve"> </w:t>
      </w:r>
      <w:r>
        <w:rPr>
          <w:rFonts w:hint="eastAsia" w:ascii="PingFang SC-Regular" w:hAnsi="PingFang SC-Regular"/>
          <w:color w:val="1B1C21"/>
          <w:spacing w:val="8"/>
        </w:rPr>
        <w:t>采用Wi-Fi 6E（6GHz频段，OFDMA+1024-QAM）。</w:t>
      </w:r>
    </w:p>
    <w:p w14:paraId="7829E196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color w:val="1B1C21"/>
          <w:spacing w:val="8"/>
        </w:rPr>
        <w:instrText xml:space="preserve"> = 2 \* ROMAN </w:instrText>
      </w:r>
      <w:r>
        <w:rPr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color w:val="1B1C21"/>
          <w:spacing w:val="8"/>
        </w:rPr>
        <w:t>II</w:t>
      </w:r>
      <w:r>
        <w:rPr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color w:val="1B1C21"/>
          <w:spacing w:val="8"/>
        </w:rPr>
        <w:t>.</w:t>
      </w:r>
      <w:r>
        <w:rPr>
          <w:rFonts w:hint="eastAsia"/>
        </w:rPr>
        <w:t xml:space="preserve"> </w:t>
      </w:r>
      <w:r>
        <w:rPr>
          <w:rFonts w:hint="eastAsia" w:ascii="PingFang SC-Regular" w:hAnsi="PingFang SC-Regular"/>
          <w:color w:val="1B1C21"/>
          <w:spacing w:val="8"/>
        </w:rPr>
        <w:t>实施Beamforming波束成形技术。</w:t>
      </w:r>
    </w:p>
    <w:p w14:paraId="79C0372B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color w:val="1B1C21"/>
          <w:spacing w:val="8"/>
        </w:rPr>
        <w:instrText xml:space="preserve"> = 3 \* ROMAN </w:instrText>
      </w:r>
      <w:r>
        <w:rPr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color w:val="1B1C21"/>
          <w:spacing w:val="8"/>
        </w:rPr>
        <w:t>III</w:t>
      </w:r>
      <w:r>
        <w:rPr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color w:val="1B1C21"/>
          <w:spacing w:val="8"/>
        </w:rPr>
        <w:t>.</w:t>
      </w:r>
      <w:r>
        <w:rPr>
          <w:rFonts w:hint="eastAsia"/>
        </w:rPr>
        <w:t xml:space="preserve"> </w:t>
      </w:r>
      <w:r>
        <w:rPr>
          <w:rFonts w:hint="eastAsia" w:ascii="PingFang SC-Regular" w:hAnsi="PingFang SC-Regular"/>
          <w:color w:val="1B1C21"/>
          <w:spacing w:val="8"/>
        </w:rPr>
        <w:t>设置专用DFS信道（避免2.4/5GHz干扰）。</w:t>
      </w:r>
    </w:p>
    <w:p w14:paraId="5E115A3D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对于需要实时交互的应用，</w:t>
      </w:r>
      <w:r>
        <w:rPr>
          <w:rFonts w:hint="eastAsia" w:ascii="PingFang SC-Regular" w:hAnsi="PingFang SC-Regular"/>
          <w:color w:val="1B1C21"/>
          <w:spacing w:val="8"/>
        </w:rPr>
        <w:t>开发多优先级通道,</w:t>
      </w:r>
      <w:r>
        <w:rPr>
          <w:rFonts w:ascii="PingFang SC-Regular" w:hAnsi="PingFang SC-Regular"/>
          <w:color w:val="1B1C21"/>
          <w:spacing w:val="8"/>
        </w:rPr>
        <w:t>确保网络带宽足够大，以减少延迟和数据包丢失</w:t>
      </w:r>
      <w:r>
        <w:rPr>
          <w:rFonts w:hint="eastAsia" w:ascii="PingFang SC-Regular" w:hAnsi="PingFang SC-Regular"/>
          <w:color w:val="1B1C21"/>
          <w:spacing w:val="8"/>
        </w:rPr>
        <w:t>：</w:t>
      </w:r>
    </w:p>
    <w:p w14:paraId="5ABFCC78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color w:val="1B1C21"/>
          <w:spacing w:val="8"/>
        </w:rPr>
        <w:instrText xml:space="preserve"> = 1 \* ROMAN </w:instrText>
      </w:r>
      <w:r>
        <w:rPr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color w:val="1B1C21"/>
          <w:spacing w:val="8"/>
        </w:rPr>
        <w:t>I</w:t>
      </w:r>
      <w:r>
        <w:rPr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color w:val="1B1C21"/>
          <w:spacing w:val="8"/>
        </w:rPr>
        <w:t>.通道0：视频流（最高优先级，预留40%带宽）;</w:t>
      </w:r>
    </w:p>
    <w:p w14:paraId="0B141088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color w:val="1B1C21"/>
          <w:spacing w:val="8"/>
        </w:rPr>
        <w:instrText xml:space="preserve"> = 2 \* ROMAN </w:instrText>
      </w:r>
      <w:r>
        <w:rPr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color w:val="1B1C21"/>
          <w:spacing w:val="8"/>
        </w:rPr>
        <w:t>II</w:t>
      </w:r>
      <w:r>
        <w:rPr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color w:val="1B1C21"/>
          <w:spacing w:val="8"/>
        </w:rPr>
        <w:t>.通道1：脑电信号（中间优先级，30%带宽）;</w:t>
      </w:r>
    </w:p>
    <w:p w14:paraId="1BCAEB54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color w:val="1B1C21"/>
          <w:spacing w:val="8"/>
        </w:rPr>
        <w:instrText xml:space="preserve"> = 3 \* ROMAN </w:instrText>
      </w:r>
      <w:r>
        <w:rPr>
          <w:rFonts w:hint="eastAsia" w:ascii="PingFang SC-Regular" w:hAnsi="PingFang SC-Regular"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color w:val="1B1C21"/>
          <w:spacing w:val="8"/>
        </w:rPr>
        <w:t>III</w:t>
      </w:r>
      <w:r>
        <w:rPr>
          <w:rFonts w:hint="eastAsia" w:ascii="PingFang SC-Regular" w:hAnsi="PingFang SC-Regular"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color w:val="1B1C21"/>
          <w:spacing w:val="8"/>
        </w:rPr>
        <w:t>.通道2：控制指令（最低优先级，30%带宽）。</w:t>
      </w:r>
    </w:p>
    <w:p w14:paraId="52B2B8A7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在头戴设备和上位机之间建立专用的通信协议，</w:t>
      </w:r>
      <w:r>
        <w:rPr>
          <w:rFonts w:hint="eastAsia" w:ascii="PingFang SC-Regular" w:hAnsi="PingFang SC-Regular"/>
          <w:color w:val="1B1C21"/>
          <w:spacing w:val="8"/>
        </w:rPr>
        <w:t>采用UDP为基础的TSN（时间敏感网络）协议栈，实现</w:t>
      </w:r>
      <m:oMath>
        <m:r>
          <m:rPr/>
          <w:rPr>
            <w:rFonts w:ascii="Cambria Math" w:hAnsi="Cambria Math"/>
            <w:color w:val="1B1C21"/>
            <w:spacing w:val="8"/>
          </w:rPr>
          <m:t>μ</m:t>
        </m:r>
        <m:r>
          <m:rPr/>
          <w:rPr>
            <w:rFonts w:hint="eastAsia" w:ascii="Cambria Math" w:hAnsi="Cambria Math"/>
            <w:color w:val="1B1C21"/>
            <w:spacing w:val="8"/>
          </w:rPr>
          <m:t>s</m:t>
        </m:r>
      </m:oMath>
      <w:r>
        <w:rPr>
          <w:rFonts w:hint="eastAsia" w:ascii="PingFang SC-Regular" w:hAnsi="PingFang SC-Regular"/>
          <w:color w:val="1B1C21"/>
          <w:spacing w:val="8"/>
        </w:rPr>
        <w:t>级时钟同步，</w:t>
      </w:r>
      <w:r>
        <w:rPr>
          <w:rFonts w:ascii="PingFang SC-Regular" w:hAnsi="PingFang SC-Regular"/>
          <w:color w:val="1B1C21"/>
          <w:spacing w:val="8"/>
        </w:rPr>
        <w:t>用于传输控制指令、状态信息以及可能的传感器数据（如头部位置、眼球运动等）。</w:t>
      </w:r>
    </w:p>
    <w:p w14:paraId="2D62AEEB">
      <w:pPr>
        <w:shd w:val="clear" w:color="auto" w:fill="FFFFFF"/>
        <w:spacing w:line="312" w:lineRule="auto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b/>
          <w:bCs/>
          <w:color w:val="1B1C21"/>
          <w:spacing w:val="8"/>
        </w:rPr>
        <w:instrText xml:space="preserve"> = 4 \* GB2 </w:instrTex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⑷</w: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end"/>
      </w:r>
      <w:r>
        <w:rPr>
          <w:rFonts w:ascii="PingFang SC-Regular" w:hAnsi="PingFang SC-Regular"/>
          <w:b/>
          <w:bCs/>
          <w:color w:val="1B1C21"/>
          <w:spacing w:val="8"/>
        </w:rPr>
        <w:t>虚拟现实眼镜与多媒体集成</w:t>
      </w:r>
    </w:p>
    <w:p w14:paraId="3DDD3574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将虚拟现实眼镜</w:t>
      </w:r>
      <w:r>
        <w:rPr>
          <w:rFonts w:hint="eastAsia" w:ascii="PingFang SC-Regular" w:hAnsi="PingFang SC-Regular"/>
          <w:color w:val="1B1C21"/>
          <w:spacing w:val="8"/>
        </w:rPr>
        <w:t>（VR）</w:t>
      </w:r>
      <w:r>
        <w:rPr>
          <w:rFonts w:ascii="PingFang SC-Regular" w:hAnsi="PingFang SC-Regular"/>
          <w:color w:val="1B1C21"/>
          <w:spacing w:val="8"/>
        </w:rPr>
        <w:t>作为头戴设备的一部分或独立组件进行集成。确保眼镜能够接收来自上位机的高清视频流，并准确地显示在用户的视野中。</w:t>
      </w:r>
    </w:p>
    <w:p w14:paraId="6A5872F0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集成多媒体功能，使用户能够在享受虚拟现实体验的同时，也能进行其他娱乐活动。</w:t>
      </w:r>
    </w:p>
    <w:p w14:paraId="5E3E4C2F">
      <w:pPr>
        <w:shd w:val="clear" w:color="auto" w:fill="FFFFFF"/>
        <w:spacing w:line="312" w:lineRule="auto"/>
        <w:rPr>
          <w:rFonts w:hint="eastAsia" w:ascii="PingFang SC-Regular" w:hAnsi="PingFang SC-Regular"/>
          <w:b/>
          <w:bCs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b/>
          <w:bCs/>
          <w:color w:val="1B1C21"/>
          <w:spacing w:val="8"/>
        </w:rPr>
        <w:instrText xml:space="preserve"> = 5 \* GB2 </w:instrTex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⑸</w: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模态对齐与细粒度特征提取</w:t>
      </w:r>
    </w:p>
    <w:p w14:paraId="16FD8F9A">
      <w:pPr>
        <w:shd w:val="clear" w:color="auto" w:fill="FFFFFF"/>
        <w:spacing w:line="312" w:lineRule="auto"/>
        <w:rPr>
          <w:rFonts w:hint="eastAsia" w:ascii="PingFang SC-Regular" w:hAnsi="PingFang SC-Regular"/>
          <w:b/>
          <w:bCs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b/>
          <w:bCs/>
          <w:color w:val="1B1C21"/>
          <w:spacing w:val="8"/>
        </w:rPr>
        <w:instrText xml:space="preserve"> = 1 \* GB3 </w:instrTex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①</w: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end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多模态对齐技术(MMA)</w:t>
      </w:r>
    </w:p>
    <w:p w14:paraId="187AC956">
      <w:pPr>
        <w:shd w:val="clear" w:color="auto" w:fill="FFFFFF"/>
        <w:spacing w:line="312" w:lineRule="auto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通过共享语义空间实现跨模态对齐，例如将图像、音频等非文本模态转换为文本描述，以统一语义表示。公式如下:</w:t>
      </w:r>
    </w:p>
    <w:p w14:paraId="398A992C">
      <w:pPr>
        <w:spacing w:before="180" w:after="180"/>
        <w:jc w:val="center"/>
        <w:rPr>
          <w:rFonts w:ascii="Cambria" w:hAnsi="Cambria"/>
        </w:rPr>
      </w:pPr>
      <w:r>
        <w:rPr>
          <w:rFonts w:ascii="Cambria" w:hAnsi="Cambria"/>
        </w:rPr>
        <w:drawing>
          <wp:inline distT="0" distB="0" distL="0" distR="0">
            <wp:extent cx="2171700" cy="320040"/>
            <wp:effectExtent l="0" t="0" r="0" b="3810"/>
            <wp:docPr id="11011230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23001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F7EA">
      <w:pPr>
        <w:shd w:val="clear" w:color="auto" w:fill="FFFFFF"/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= 2 \* GB3 </w:instrText>
      </w:r>
      <w:r>
        <w:rPr>
          <w:rFonts w:hint="eastAsia"/>
          <w:b/>
          <w:bCs/>
        </w:rPr>
        <w:fldChar w:fldCharType="separate"/>
      </w:r>
      <w:r>
        <w:rPr>
          <w:rFonts w:hint="eastAsia"/>
          <w:b/>
          <w:bCs/>
        </w:rPr>
        <w:t>②</w: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t>细粒度编码(Token-level Encoding)</w:t>
      </w:r>
    </w:p>
    <w:p w14:paraId="798D980F">
      <w:pPr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采用类似PreFLMR的细粒度编码策略，将每个模态的输入分解为token序列，避免单向量压缩导致的信息损失:</w:t>
      </w:r>
    </w:p>
    <w:p w14:paraId="480F5F4D">
      <w:pPr>
        <w:spacing w:before="180" w:after="180"/>
        <w:jc w:val="center"/>
        <w:rPr>
          <w:rFonts w:ascii="Cambria" w:hAnsi="Cambria"/>
        </w:rPr>
      </w:pPr>
      <w:r>
        <w:rPr>
          <w:rFonts w:ascii="Cambria" w:hAnsi="Cambria"/>
        </w:rPr>
        <w:drawing>
          <wp:inline distT="0" distB="0" distL="0" distR="0">
            <wp:extent cx="3406140" cy="297180"/>
            <wp:effectExtent l="0" t="0" r="3810" b="7620"/>
            <wp:docPr id="7956003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0316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DD86">
      <w:pPr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其中，Q和D分别为查询(Query)和文档(Document)的token级表征矩阵，通过最大化点积和(MaxSim)计算相关性:</w:t>
      </w:r>
    </w:p>
    <w:p w14:paraId="5E8A1B45">
      <w:pPr>
        <w:spacing w:before="180" w:after="180"/>
        <w:jc w:val="center"/>
        <w:rPr>
          <w:rFonts w:ascii="Cambria" w:hAnsi="Cambria"/>
        </w:rPr>
      </w:pPr>
      <w:r>
        <w:rPr>
          <w:rFonts w:ascii="Cambria" w:hAnsi="Cambria"/>
        </w:rPr>
        <w:drawing>
          <wp:inline distT="0" distB="0" distL="0" distR="0">
            <wp:extent cx="2057400" cy="609600"/>
            <wp:effectExtent l="0" t="0" r="0" b="0"/>
            <wp:docPr id="4388210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1073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50BBE">
      <w:pPr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</w:p>
    <w:p w14:paraId="3AE06485">
      <w:pPr>
        <w:shd w:val="clear" w:color="auto" w:fill="FFFFFF"/>
        <w:spacing w:line="312" w:lineRule="auto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t>⑹</w:t>
      </w:r>
      <w:r>
        <w:rPr>
          <w:rFonts w:ascii="PingFang SC-Regular" w:hAnsi="PingFang SC-Regular"/>
          <w:b/>
          <w:bCs/>
          <w:color w:val="1B1C21"/>
          <w:spacing w:val="8"/>
        </w:rPr>
        <w:t>安全性与隐私保护</w:t>
      </w:r>
    </w:p>
    <w:p w14:paraId="4D7D1CC1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实施加密措施来保护通过LAN传输的数据，防止未经授权的访问和窃取。</w:t>
      </w:r>
    </w:p>
    <w:p w14:paraId="53C4FB2B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确保头戴设备具备适当的物理安全特性，如防盗锁、生物识别验证等，以防止设备被盗用或滥用。</w:t>
      </w:r>
    </w:p>
    <w:p w14:paraId="46E47F68">
      <w:pPr>
        <w:shd w:val="clear" w:color="auto" w:fill="FFFFFF"/>
        <w:spacing w:line="312" w:lineRule="auto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begin"/>
      </w:r>
      <w:r>
        <w:rPr>
          <w:rFonts w:hint="eastAsia" w:ascii="PingFang SC-Regular" w:hAnsi="PingFang SC-Regular"/>
          <w:b/>
          <w:bCs/>
          <w:color w:val="1B1C21"/>
          <w:spacing w:val="8"/>
        </w:rPr>
        <w:instrText xml:space="preserve"> = 7 \* GB2 </w:instrTex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separate"/>
      </w:r>
      <w:r>
        <w:rPr>
          <w:rFonts w:hint="eastAsia" w:ascii="PingFang SC-Regular" w:hAnsi="PingFang SC-Regular"/>
          <w:b/>
          <w:bCs/>
          <w:color w:val="1B1C21"/>
          <w:spacing w:val="8"/>
        </w:rPr>
        <w:t>⑺</w:t>
      </w:r>
      <w:r>
        <w:rPr>
          <w:rFonts w:hint="eastAsia" w:ascii="PingFang SC-Regular" w:hAnsi="PingFang SC-Regular"/>
          <w:b/>
          <w:bCs/>
          <w:color w:val="1B1C21"/>
          <w:spacing w:val="8"/>
        </w:rPr>
        <w:fldChar w:fldCharType="end"/>
      </w:r>
      <w:r>
        <w:rPr>
          <w:rFonts w:ascii="PingFang SC-Regular" w:hAnsi="PingFang SC-Regular"/>
          <w:b/>
          <w:bCs/>
          <w:color w:val="1B1C21"/>
          <w:spacing w:val="8"/>
        </w:rPr>
        <w:t>测试与优化</w:t>
      </w:r>
    </w:p>
    <w:p w14:paraId="46F88A01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在实际部署前进行全面的功能测试，包括音频质量、图像清晰度、交互响应速度等方面。</w:t>
      </w:r>
    </w:p>
    <w:p w14:paraId="47D31E4E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ascii="PingFang SC-Regular" w:hAnsi="PingFang SC-Regular"/>
          <w:color w:val="1B1C21"/>
          <w:spacing w:val="8"/>
        </w:rPr>
        <w:t>根据测试结果对系统进行调整和优化，以满足不同场景下的性能要求和使用体验。</w:t>
      </w:r>
    </w:p>
    <w:p w14:paraId="093E7D4B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采用FPGA加速BCH解码，吞吐量提升至1Gbps:</w:t>
      </w:r>
    </w:p>
    <w:p w14:paraId="25613C13">
      <w:pPr>
        <w:spacing w:before="180" w:after="180"/>
        <w:jc w:val="center"/>
        <w:rPr>
          <w:rFonts w:ascii="Cambria" w:hAnsi="Cambria"/>
        </w:rPr>
      </w:pPr>
      <w:r>
        <w:rPr>
          <w:rFonts w:ascii="Cambria" w:hAnsi="Cambria"/>
        </w:rPr>
        <w:drawing>
          <wp:inline distT="0" distB="0" distL="0" distR="0">
            <wp:extent cx="1905000" cy="480060"/>
            <wp:effectExtent l="0" t="0" r="0" b="5715"/>
            <wp:docPr id="1556886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86672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A67F7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  <w:r>
        <w:rPr>
          <w:rFonts w:hint="eastAsia" w:ascii="PingFang SC-Regular" w:hAnsi="PingFang SC-Regular"/>
          <w:color w:val="1B1C21"/>
          <w:spacing w:val="8"/>
        </w:rPr>
        <w:t>结合模型剪枝与量化技术，参数量压缩至1/4</w:t>
      </w:r>
    </w:p>
    <w:p w14:paraId="6B3AFF85">
      <w:pPr>
        <w:shd w:val="clear" w:color="auto" w:fill="FFFFFF"/>
        <w:spacing w:line="312" w:lineRule="auto"/>
        <w:ind w:firstLine="512" w:firstLineChars="200"/>
        <w:rPr>
          <w:rFonts w:hint="eastAsia" w:ascii="PingFang SC-Regular" w:hAnsi="PingFang SC-Regular"/>
          <w:color w:val="1B1C21"/>
          <w:spacing w:val="8"/>
        </w:rPr>
      </w:pPr>
    </w:p>
    <w:p w14:paraId="5169909E">
      <w:pPr>
        <w:shd w:val="clear" w:color="auto" w:fill="FFFFFF"/>
        <w:spacing w:line="312" w:lineRule="auto"/>
        <w:rPr>
          <w:rFonts w:hint="eastAsia" w:ascii="PingFang SC-Regular" w:hAnsi="PingFang SC-Regular"/>
          <w:color w:val="1B1C21"/>
          <w:spacing w:val="8"/>
        </w:rPr>
      </w:pPr>
      <w:r>
        <w:drawing>
          <wp:inline distT="0" distB="0" distL="0" distR="0">
            <wp:extent cx="5943600" cy="5203825"/>
            <wp:effectExtent l="0" t="0" r="0" b="6350"/>
            <wp:docPr id="8088161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6175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EE9D">
      <w:pPr>
        <w:spacing w:line="312" w:lineRule="auto"/>
        <w:rPr>
          <w:rFonts w:hint="eastAsia"/>
          <w:b/>
        </w:rPr>
      </w:pPr>
      <w:r>
        <w:rPr>
          <w:rFonts w:hint="eastAsia"/>
          <w:b/>
        </w:rPr>
        <w:t>拟解决的技术问题：</w:t>
      </w:r>
    </w:p>
    <w:p w14:paraId="3217E87C">
      <w:pPr>
        <w:spacing w:line="312" w:lineRule="auto"/>
        <w:rPr>
          <w:rFonts w:hint="eastAsia"/>
          <w:b/>
          <w:bCs/>
        </w:rPr>
      </w:pPr>
      <w:r>
        <w:rPr>
          <w:b/>
          <w:bCs/>
        </w:rPr>
        <w:t>1.图形化能力提升</w:t>
      </w:r>
    </w:p>
    <w:p w14:paraId="5A3EA2A7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（1）脑波可视化：</w:t>
      </w:r>
    </w:p>
    <w:p w14:paraId="2FF2D70E">
      <w:pPr>
        <w:spacing w:line="312" w:lineRule="auto"/>
        <w:ind w:firstLine="480" w:firstLineChars="200"/>
        <w:rPr>
          <w:rFonts w:hint="eastAsia"/>
        </w:rPr>
      </w:pPr>
      <w:r>
        <w:rPr>
          <w:rFonts w:hint="eastAsia"/>
        </w:rPr>
        <w:t>将脑电波信号转化为动态图形，用于各种艺术创作或建筑设计中的可视化表达。</w:t>
      </w:r>
    </w:p>
    <w:p w14:paraId="12310DA1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（2）情感可视化：</w:t>
      </w:r>
    </w:p>
    <w:p w14:paraId="7EE48F49">
      <w:pPr>
        <w:spacing w:line="312" w:lineRule="auto"/>
        <w:rPr>
          <w:rFonts w:hint="eastAsia"/>
        </w:rPr>
      </w:pPr>
      <w:r>
        <w:rPr>
          <w:rFonts w:hint="eastAsia"/>
        </w:rPr>
        <w:t>通过</w:t>
      </w:r>
      <w:r>
        <w:t>BCI识别用户情绪，实时调整VR环境中的色彩、光影等，增强艺术作品的感染力或优化建筑空间的情感体验。</w:t>
      </w:r>
    </w:p>
    <w:p w14:paraId="2159CD65">
      <w:pPr>
        <w:spacing w:line="312" w:lineRule="auto"/>
        <w:rPr>
          <w:rFonts w:hint="eastAsia"/>
          <w:b/>
          <w:bCs/>
        </w:rPr>
      </w:pPr>
      <w:r>
        <w:rPr>
          <w:b/>
          <w:bCs/>
        </w:rPr>
        <w:t>2.设备的交互连接与实现</w:t>
      </w:r>
    </w:p>
    <w:p w14:paraId="0D29687F">
      <w:pPr>
        <w:spacing w:line="312" w:lineRule="auto"/>
        <w:ind w:firstLine="480" w:firstLineChars="200"/>
        <w:rPr>
          <w:rFonts w:hint="eastAsia"/>
        </w:rPr>
      </w:pPr>
      <w:r>
        <w:rPr>
          <w:rFonts w:hint="eastAsia"/>
        </w:rPr>
        <w:t>脑机接口与</w:t>
      </w:r>
      <w:r>
        <w:t>VR的结合方式：探讨如何通过脑机接口技术实现大脑与外部VR环境的直接交互，包括信号采集、处理与解码，以及反馈机制等。</w:t>
      </w:r>
    </w:p>
    <w:p w14:paraId="089A8A96">
      <w:pPr>
        <w:spacing w:line="312" w:lineRule="auto"/>
        <w:rPr>
          <w:rFonts w:hint="eastAsia"/>
          <w:b/>
          <w:bCs/>
        </w:rPr>
      </w:pPr>
      <w:r>
        <w:rPr>
          <w:b/>
          <w:bCs/>
        </w:rPr>
        <w:t>3.用户体验和适应性</w:t>
      </w:r>
    </w:p>
    <w:p w14:paraId="2BC343AE">
      <w:pPr>
        <w:spacing w:line="312" w:lineRule="auto"/>
        <w:ind w:firstLine="480" w:firstLineChars="200"/>
        <w:rPr>
          <w:rFonts w:hint="eastAsia"/>
        </w:rPr>
      </w:pPr>
      <w:r>
        <w:rPr>
          <w:rFonts w:hint="eastAsia"/>
        </w:rPr>
        <w:t>利用</w:t>
      </w:r>
      <w:r>
        <w:t>BCI捕捉观众脑波，根据其注意力或情绪变化实时调整VR叙事内容，打造个性化艺术体验。并通过引入触觉反馈和眼动追踪技术，增强用户在虚拟环境中的沉浸感和交互体验。</w:t>
      </w:r>
    </w:p>
    <w:p w14:paraId="7D0843F9">
      <w:pPr>
        <w:spacing w:line="312" w:lineRule="auto"/>
        <w:ind w:firstLine="480" w:firstLineChars="200"/>
        <w:rPr>
          <w:rFonts w:hint="eastAsia"/>
        </w:rPr>
      </w:pPr>
      <w:r>
        <w:rPr>
          <w:rFonts w:hint="eastAsia"/>
        </w:rPr>
        <w:t>脑机接口技术需要用户接受训练和适应，以达到有效的交互。用户在使用脑机接口与</w:t>
      </w:r>
      <w:r>
        <w:t>VR设备进行交互时，可能需要进行一定的认知和运动训练才能提供准确的大脑信号。此外，个体差异、大脑活动变化和疲劳等因素也会影响用户的使用体验。</w:t>
      </w:r>
    </w:p>
    <w:p w14:paraId="41249886">
      <w:pPr>
        <w:spacing w:line="312" w:lineRule="auto"/>
        <w:rPr>
          <w:rFonts w:hint="eastAsia"/>
          <w:b/>
          <w:bCs/>
        </w:rPr>
      </w:pPr>
      <w:r>
        <w:rPr>
          <w:b/>
          <w:bCs/>
        </w:rPr>
        <w:t>4.电信号采集</w:t>
      </w:r>
    </w:p>
    <w:p w14:paraId="33FC2A44">
      <w:pPr>
        <w:spacing w:line="312" w:lineRule="auto"/>
        <w:ind w:firstLine="480" w:firstLineChars="200"/>
        <w:rPr>
          <w:rFonts w:hint="eastAsia"/>
        </w:rPr>
      </w:pPr>
      <w:r>
        <w:rPr>
          <w:rFonts w:hint="eastAsia"/>
        </w:rPr>
        <w:t>电信号采集和处理中的噪声干扰和信号不稳定，需要通过优化硬件集成和软件算法，提高脑电信号的质量和识别的准确率</w:t>
      </w:r>
    </w:p>
    <w:p w14:paraId="6BEE4785">
      <w:pPr>
        <w:spacing w:line="312" w:lineRule="auto"/>
        <w:rPr>
          <w:rFonts w:hint="eastAsia"/>
          <w:b/>
        </w:rPr>
      </w:pPr>
      <w:r>
        <w:rPr>
          <w:rFonts w:hint="eastAsia"/>
          <w:b/>
        </w:rPr>
        <w:t>应用场景拓展：</w:t>
      </w:r>
    </w:p>
    <w:p w14:paraId="2F3AAAD6">
      <w:pPr>
        <w:spacing w:line="312" w:lineRule="auto"/>
        <w:ind w:firstLine="480" w:firstLineChars="200"/>
        <w:rPr>
          <w:rFonts w:hint="eastAsia"/>
        </w:rPr>
      </w:pPr>
      <w:r>
        <w:t>BCI-VR技术使目前科技的前沿，应用场景广泛，能够影响到建筑、医疗、教育、艺术、哲学等领域，是高能科技的重要体现。</w:t>
      </w:r>
    </w:p>
    <w:p w14:paraId="78B88E68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1）建筑体验</w:t>
      </w:r>
    </w:p>
    <w:p w14:paraId="5B3C3499">
      <w:pPr>
        <w:spacing w:line="312" w:lineRule="auto"/>
        <w:ind w:firstLine="480" w:firstLineChars="200"/>
        <w:rPr>
          <w:rFonts w:hint="eastAsia"/>
        </w:rPr>
      </w:pPr>
      <w:r>
        <w:t>用户在VR中体验建筑空间，BCI捕捉其反馈，为设计师提供优化建议。</w:t>
      </w:r>
    </w:p>
    <w:p w14:paraId="2FBAC57F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2）文化遗产保护</w:t>
      </w:r>
    </w:p>
    <w:p w14:paraId="2B3772E7">
      <w:pPr>
        <w:spacing w:line="312" w:lineRule="auto"/>
        <w:ind w:firstLine="480" w:firstLineChars="200"/>
        <w:rPr>
          <w:rFonts w:hint="eastAsia"/>
        </w:rPr>
      </w:pPr>
      <w:r>
        <w:t>利用BCI-VR技术重建历史场景，让用户沉浸式体验文化遗产。</w:t>
      </w:r>
    </w:p>
    <w:p w14:paraId="093FD2A0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3）医疗健康</w:t>
      </w:r>
    </w:p>
    <w:p w14:paraId="707FFB45">
      <w:pPr>
        <w:spacing w:line="312" w:lineRule="auto"/>
        <w:ind w:firstLine="480" w:firstLineChars="200"/>
        <w:rPr>
          <w:rFonts w:hint="eastAsia"/>
          <w:vertAlign w:val="superscript"/>
        </w:rPr>
      </w:pPr>
      <w:r>
        <w:t>BCI-VR系统帮助中风患者进行运动功能康复训练，通过意念控制虚拟肢体运动，促进神经可塑性。并且对于脊髓损伤者可以帮助脊髓损伤患者进行虚拟行走训练，恢复运动功能。</w:t>
      </w:r>
      <w:r>
        <w:rPr>
          <w:rFonts w:hint="eastAsia"/>
          <w:vertAlign w:val="superscript"/>
        </w:rPr>
        <w:t>[11]</w:t>
      </w:r>
    </w:p>
    <w:p w14:paraId="78D77A47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4）教育培训</w:t>
      </w:r>
    </w:p>
    <w:p w14:paraId="7D7AEB80">
      <w:pPr>
        <w:spacing w:line="312" w:lineRule="auto"/>
        <w:ind w:firstLine="480" w:firstLineChars="200"/>
        <w:rPr>
          <w:rFonts w:hint="eastAsia"/>
        </w:rPr>
      </w:pPr>
      <w:r>
        <w:t>例如外科手术培训，医学生在虚拟手术环境中进行手术训练，BCI实时监测其脑电波活动，评估其手术技能和心理状态；行员培训，飞行员在虚拟飞行环境中进行飞行训练，BCI实时监测其脑电波活动，评估其飞行技能和应激反应等</w:t>
      </w:r>
    </w:p>
    <w:p w14:paraId="6FA99B7D">
      <w:pPr>
        <w:spacing w:line="312" w:lineRule="auto"/>
        <w:ind w:firstLine="480" w:firstLineChars="200"/>
        <w:rPr>
          <w:rFonts w:hint="eastAsia"/>
        </w:rPr>
      </w:pPr>
    </w:p>
    <w:p w14:paraId="58BEEC57">
      <w:pPr>
        <w:rPr>
          <w:rFonts w:hint="eastAsia"/>
          <w:b/>
          <w:bCs/>
        </w:rPr>
      </w:pPr>
      <w:r>
        <w:rPr>
          <w:rFonts w:hint="eastAsia"/>
          <w:b/>
          <w:bCs/>
        </w:rPr>
        <w:t>预期结果</w:t>
      </w:r>
    </w:p>
    <w:p w14:paraId="2F7DAF08">
      <w:pPr>
        <w:ind w:firstLine="480" w:firstLineChars="200"/>
        <w:rPr>
          <w:rFonts w:hint="eastAsia"/>
        </w:rPr>
      </w:pPr>
      <w:r>
        <w:rPr>
          <w:rFonts w:hint="eastAsia"/>
        </w:rPr>
        <w:t>（1）开发出一套高效的脑机接口与虚拟现实技术融合系统，能够实时采集和处理脑电信号，并生成相应的虚拟艺术作品或建筑模型。</w:t>
      </w:r>
    </w:p>
    <w:p w14:paraId="03B08F31">
      <w:pPr>
        <w:ind w:firstLine="480" w:firstLineChars="200"/>
        <w:rPr>
          <w:rFonts w:hint="eastAsia"/>
        </w:rPr>
      </w:pPr>
      <w:r>
        <w:rPr>
          <w:rFonts w:hint="eastAsia"/>
        </w:rPr>
        <w:t>（2）开发出一套基于深度学习的脑电信号识别模型，能够准确识别用户的意图并生成相应的控制指令。并在此基础上对其加强，缩短对指令的反应时间，压缩延迟时间，加强对指令的理解，使其能够对指令进行深度思考判断，以能够提出更完美的建议。</w:t>
      </w:r>
    </w:p>
    <w:p w14:paraId="2771F0A4">
      <w:pPr>
        <w:ind w:firstLine="480" w:firstLineChars="200"/>
        <w:rPr>
          <w:rFonts w:hint="eastAsia"/>
        </w:rPr>
      </w:pPr>
      <w:r>
        <w:rPr>
          <w:rFonts w:hint="eastAsia"/>
        </w:rPr>
        <w:t>（3）开发出一套高效的图形渲染引擎和物理引擎，确保虚拟场景的实时渲染和动态响应，能够为客户提供极致的自身环境的渲染，使客户感到身临其境。</w:t>
      </w:r>
    </w:p>
    <w:p w14:paraId="59299300">
      <w:pPr>
        <w:ind w:firstLine="480" w:firstLineChars="200"/>
        <w:rPr>
          <w:rFonts w:hint="eastAsia"/>
        </w:rPr>
      </w:pPr>
      <w:r>
        <w:rPr>
          <w:rFonts w:hint="eastAsia"/>
        </w:rPr>
        <w:t>（4）在应用方面，预期成果包括一套基于脑机接口的虚拟绘画系统，艺术家可以通过想象不同的图案和色彩，实时生成虚拟画作；一套基于脑机接口的虚拟建筑建模系统，设计师可以通过想象建筑的外观和内部结构，实时生成三维建筑模型；一套基于脑机接口的虚拟建筑漫游系统，用户可以通过想象不同的视角和路径，实时探索和体验建筑空间。</w:t>
      </w:r>
    </w:p>
    <w:p w14:paraId="2AF95585">
      <w:pPr>
        <w:ind w:firstLine="480" w:firstLineChars="200"/>
        <w:rPr>
          <w:rFonts w:hint="eastAsia"/>
        </w:rPr>
      </w:pPr>
      <w:r>
        <w:rPr>
          <w:rFonts w:hint="eastAsia"/>
        </w:rPr>
        <w:t>（5）实现多人协同控制系统，能够支持多人通过BCI-VR来对某个物品进行协同操作（如机器人的操控）。</w:t>
      </w:r>
    </w:p>
    <w:p w14:paraId="3A52A616">
      <w:pPr>
        <w:ind w:firstLine="480" w:firstLineChars="200"/>
        <w:rPr>
          <w:rFonts w:hint="eastAsia"/>
        </w:rPr>
      </w:pPr>
      <w:r>
        <w:rPr>
          <w:rFonts w:hint="eastAsia"/>
        </w:rPr>
        <w:t>（6）为闭锁综合征患者提供商业化脑控虚拟键盘，实现每分钟10-15字的交流速度，填补全球约50万患者的需求空白。</w:t>
      </w:r>
    </w:p>
    <w:p w14:paraId="0FBA5A82">
      <w:pPr>
        <w:ind w:firstLine="480" w:firstLineChars="200"/>
        <w:rPr>
          <w:rFonts w:hint="eastAsia"/>
        </w:rPr>
      </w:pPr>
      <w:r>
        <w:rPr>
          <w:rFonts w:hint="eastAsia"/>
        </w:rPr>
        <w:t>（7）建立虚拟社交平台，通过BCI-VR技术，客户可以利用思维在虚拟社交平台上进行交流，实现元宇宙意识互联。</w:t>
      </w:r>
    </w:p>
    <w:p w14:paraId="2F4AC988">
      <w:r>
        <w:br w:type="textWrapping"/>
      </w: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-Regula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76E3F"/>
    <w:multiLevelType w:val="multilevel"/>
    <w:tmpl w:val="25876E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B4971E4"/>
    <w:multiLevelType w:val="multilevel"/>
    <w:tmpl w:val="7B497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D2076"/>
    <w:rsid w:val="6F76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2">
    <w:name w:val="heading 4"/>
    <w:basedOn w:val="1"/>
    <w:next w:val="1"/>
    <w:qFormat/>
    <w:uiPriority w:val="0"/>
    <w:pPr>
      <w:spacing w:before="100" w:beforeAutospacing="1" w:after="100" w:afterAutospacing="1"/>
      <w:outlineLvl w:val="3"/>
    </w:pPr>
    <w:rPr>
      <w:rFonts w:hint="eastAsia"/>
      <w:b/>
      <w:bCs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Normal (Web)"/>
    <w:basedOn w:val="1"/>
    <w:qFormat/>
    <w:uiPriority w:val="99"/>
    <w:pPr>
      <w:spacing w:before="100" w:beforeAutospacing="1" w:after="100" w:afterAutospacing="1"/>
    </w:pPr>
  </w:style>
  <w:style w:type="character" w:styleId="7">
    <w:name w:val="Strong"/>
    <w:qFormat/>
    <w:uiPriority w:val="22"/>
    <w:rPr>
      <w:b/>
      <w:bCs/>
    </w:rPr>
  </w:style>
  <w:style w:type="paragraph" w:customStyle="1" w:styleId="8">
    <w:name w:val="First Paragraph"/>
    <w:basedOn w:val="3"/>
    <w:next w:val="3"/>
    <w:qFormat/>
    <w:uiPriority w:val="0"/>
    <w:pPr>
      <w:spacing w:before="180" w:after="180"/>
    </w:pPr>
    <w:rPr>
      <w:rFonts w:ascii="Cambria" w:hAnsi="Cambria"/>
      <w:lang w:eastAsia="en-US"/>
    </w:rPr>
  </w:style>
  <w:style w:type="paragraph" w:customStyle="1" w:styleId="9">
    <w:name w:val="ds-markdown-paragraph"/>
    <w:basedOn w:val="1"/>
    <w:qFormat/>
    <w:uiPriority w:val="0"/>
    <w:pPr>
      <w:spacing w:before="100" w:beforeAutospacing="1" w:after="100" w:afterAutospacing="1"/>
    </w:pPr>
    <w:rPr>
      <w:rFonts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2026-01-06T02:22:00Z</dcterms:created>
  <dc:creator>m1595</dc:creator>
  <cp:lastModifiedBy>硕</cp:lastModifiedBy>
  <dcterms:modified xsi:type="dcterms:W3CDTF">2026-03-19T14:27:52Z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F172D90C31B04E9EBD18E6312EE2B3E2_12</vt:lpwstr>
  </property>
  <property fmtid="{D5CDD505-2E9C-101B-9397-08002B2CF9AE}" pid="4" name="KSOTemplateDocerSaveRecord">
    <vt:lpwstr>eyJoZGlkIjoiNGU3MjZkYTI4ODNlODcxYjlmOGE1OTdhNjFjYTNkYmMiLCJ1c2VySWQiOiI4NTY4MDU3NjgifQ==</vt:lpwstr>
  </property>
</Properties>
</file>