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1.09090909090907"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When Both Work Full-Time:</w:t>
      </w:r>
    </w:p>
    <w:p w:rsidR="00000000" w:rsidDel="00000000" w:rsidP="00000000" w:rsidRDefault="00000000" w:rsidRPr="00000000" w14:paraId="00000002">
      <w:pPr>
        <w:spacing w:line="301.09090909090907"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Rethinking Gender Inequality in Household Labor</w:t>
      </w:r>
    </w:p>
    <w:p w:rsidR="00000000" w:rsidDel="00000000" w:rsidP="00000000" w:rsidRDefault="00000000" w:rsidRPr="00000000" w14:paraId="00000003">
      <w:pPr>
        <w:spacing w:line="301.09090909090907"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2"/>
          <w:szCs w:val="22"/>
          <w:rtl w:val="0"/>
        </w:rPr>
        <w:t xml:space="preserve">Survey 3: HFC Check</w:t>
      </w:r>
      <w:r w:rsidDel="00000000" w:rsidR="00000000" w:rsidRPr="00000000">
        <w:rPr>
          <w:rtl w:val="0"/>
        </w:rPr>
      </w:r>
    </w:p>
    <w:p w:rsidR="00000000" w:rsidDel="00000000" w:rsidP="00000000" w:rsidRDefault="00000000" w:rsidRPr="00000000" w14:paraId="00000004">
      <w:pPr>
        <w:spacing w:line="301.09090909090907" w:lineRule="auto"/>
        <w:jc w:val="center"/>
        <w:rPr>
          <w:rFonts w:ascii="Arial" w:cs="Arial" w:eastAsia="Arial" w:hAnsi="Arial"/>
        </w:rPr>
      </w:pPr>
      <w:r w:rsidDel="00000000" w:rsidR="00000000" w:rsidRPr="00000000">
        <w:rPr>
          <w:rFonts w:ascii="Arial" w:cs="Arial" w:eastAsia="Arial" w:hAnsi="Arial"/>
          <w:sz w:val="22"/>
          <w:szCs w:val="22"/>
          <w:rtl w:val="0"/>
        </w:rPr>
        <w:t xml:space="preserve">Zimu Zhai, Qingya Yang, Peggy Wang, Felicity Loveland-Patterson</w:t>
      </w:r>
      <w:r w:rsidDel="00000000" w:rsidR="00000000" w:rsidRPr="00000000">
        <w:rPr>
          <w:rFonts w:ascii="Arial" w:cs="Arial" w:eastAsia="Arial" w:hAnsi="Arial"/>
          <w:rtl w:val="0"/>
        </w:rPr>
        <w:t xml:space="preserve">t</w:t>
      </w:r>
    </w:p>
    <w:p w:rsidR="00000000" w:rsidDel="00000000" w:rsidP="00000000" w:rsidRDefault="00000000" w:rsidRPr="00000000" w14:paraId="00000005">
      <w:pPr>
        <w:numPr>
          <w:ilvl w:val="0"/>
          <w:numId w:val="1"/>
        </w:numPr>
        <w:ind w:left="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HFC Check: Infant Age &amp; Paternity Leave Eligibility</w:t>
      </w:r>
    </w:p>
    <w:p w:rsidR="00000000" w:rsidDel="00000000" w:rsidP="00000000" w:rsidRDefault="00000000" w:rsidRPr="00000000" w14:paraId="00000006">
      <w:pPr>
        <w:rPr>
          <w:rFonts w:ascii="Arial" w:cs="Arial" w:eastAsia="Arial" w:hAnsi="Arial"/>
          <w:b w:val="1"/>
          <w:bCs w:val="1"/>
        </w:rPr>
      </w:pPr>
      <w:r w:rsidDel="00000000" w:rsidR="00000000" w:rsidRPr="00000000">
        <w:rPr>
          <w:rFonts w:ascii="Arial" w:cs="Arial" w:eastAsia="Arial" w:hAnsi="Arial"/>
          <w:b w:val="1"/>
          <w:bCs w:val="1"/>
          <w:rtl w:val="0"/>
        </w:rPr>
        <w:t xml:space="preserve">Range check:</w:t>
      </w:r>
    </w:p>
    <w:p w:rsidR="00000000" w:rsidDel="00000000" w:rsidP="00000000" w:rsidRDefault="00000000" w:rsidRPr="00000000" w14:paraId="00000007">
      <w:pPr>
        <w:ind w:firstLine="720"/>
        <w:rPr>
          <w:rFonts w:ascii="Arial" w:cs="Arial" w:eastAsia="Arial" w:hAnsi="Arial"/>
        </w:rPr>
      </w:pPr>
      <w:r w:rsidDel="00000000" w:rsidR="00000000" w:rsidRPr="00000000">
        <w:rPr>
          <w:rFonts w:ascii="Arial" w:cs="Arial" w:eastAsia="Arial" w:hAnsi="Arial"/>
          <w:rtl w:val="0"/>
        </w:rPr>
        <w:t xml:space="preserve">In survey-based data collection, enumerators may incorrectly record infant_age_weeks due to misunderstanding the question (e.g., recording age in months instead of weeks, or confusing the infant’s birth date). Since our study targets couples with newborns, any value below 0 or above 52 weeks is biologically implausible within our recruitment window and should be flagged as a likely data entry error.</w:t>
      </w:r>
    </w:p>
    <w:p w:rsidR="00000000" w:rsidDel="00000000" w:rsidP="00000000" w:rsidRDefault="00000000" w:rsidRPr="00000000" w14:paraId="00000008">
      <w:pPr>
        <w:rPr>
          <w:rFonts w:ascii="Arial" w:cs="Arial" w:eastAsia="Arial" w:hAnsi="Arial"/>
          <w:b w:val="1"/>
          <w:bCs w:val="1"/>
        </w:rPr>
      </w:pPr>
      <w:r w:rsidDel="00000000" w:rsidR="00000000" w:rsidRPr="00000000">
        <w:rPr>
          <w:rFonts w:ascii="Arial" w:cs="Arial" w:eastAsia="Arial" w:hAnsi="Arial"/>
          <w:b w:val="1"/>
          <w:bCs w:val="1"/>
          <w:rtl w:val="0"/>
        </w:rPr>
        <w:t xml:space="preserve">Logic consistency check:</w:t>
      </w:r>
    </w:p>
    <w:p w:rsidR="00000000" w:rsidDel="00000000" w:rsidP="00000000" w:rsidRDefault="00000000" w:rsidRPr="00000000" w14:paraId="00000009">
      <w:pPr>
        <w:ind w:firstLine="720"/>
        <w:rPr>
          <w:rFonts w:ascii="Arial" w:cs="Arial" w:eastAsia="Arial" w:hAnsi="Arial"/>
        </w:rPr>
      </w:pPr>
      <w:r w:rsidDel="00000000" w:rsidR="00000000" w:rsidRPr="00000000">
        <w:rPr>
          <w:rFonts w:ascii="Arial" w:cs="Arial" w:eastAsia="Arial" w:hAnsi="Arial"/>
          <w:rtl w:val="0"/>
        </w:rPr>
        <w:t xml:space="preserve">A more subtle issue arises from the interaction between infant_age_weeks and treatment_arm. In our RCT design, fathers assigned to treatment arms 2 or 4 are eligible for paternity leave, which must be taken within 12 weeks of the infant's birth. If a couple is enrolled with treatment_arm = 2 or 4 but infant_age_weeks &gt; 12, the paternity leave window has already closed — meaning either the treatment assignment is wrong, or the infant age was mis-recorded. This cross-variable logical inconsistency would corrupt our ITT estimates if left uncorrected.</w:t>
      </w:r>
    </w:p>
    <w:p w:rsidR="00000000" w:rsidDel="00000000" w:rsidP="00000000" w:rsidRDefault="00000000" w:rsidRPr="00000000" w14:paraId="0000000A">
      <w:pPr>
        <w:ind w:firstLine="720"/>
        <w:rPr>
          <w:rFonts w:ascii="Arial" w:cs="Arial" w:eastAsia="Arial" w:hAnsi="Arial"/>
        </w:rPr>
      </w:pPr>
      <w:r w:rsidDel="00000000" w:rsidR="00000000" w:rsidRPr="00000000">
        <w:rPr>
          <w:rtl w:val="0"/>
        </w:rPr>
      </w:r>
    </w:p>
    <w:p w:rsidR="00000000" w:rsidDel="00000000" w:rsidP="00000000" w:rsidRDefault="00000000" w:rsidRPr="00000000" w14:paraId="0000000B">
      <w:pPr>
        <w:numPr>
          <w:ilvl w:val="0"/>
          <w:numId w:val="1"/>
        </w:numPr>
        <w:ind w:left="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HFC Check: Housework &amp; Paid Work Hours </w:t>
      </w:r>
    </w:p>
    <w:p w:rsidR="00000000" w:rsidDel="00000000" w:rsidP="00000000" w:rsidRDefault="00000000" w:rsidRPr="00000000" w14:paraId="0000000C">
      <w:pPr>
        <w:rPr>
          <w:rFonts w:ascii="Arial" w:cs="Arial" w:eastAsia="Arial" w:hAnsi="Arial"/>
          <w:b w:val="1"/>
          <w:bCs w:val="1"/>
        </w:rPr>
      </w:pPr>
      <w:r w:rsidDel="00000000" w:rsidR="00000000" w:rsidRPr="00000000">
        <w:rPr>
          <w:rFonts w:ascii="Arial" w:cs="Arial" w:eastAsia="Arial" w:hAnsi="Arial"/>
          <w:b w:val="1"/>
          <w:bCs w:val="1"/>
          <w:rtl w:val="0"/>
        </w:rPr>
        <w:t xml:space="preserve">Range check: </w:t>
      </w:r>
    </w:p>
    <w:p w:rsidR="00000000" w:rsidDel="00000000" w:rsidP="00000000" w:rsidRDefault="00000000" w:rsidRPr="00000000" w14:paraId="0000000D">
      <w:pPr>
        <w:ind w:firstLine="720"/>
        <w:rPr>
          <w:rFonts w:ascii="Arial" w:cs="Arial" w:eastAsia="Arial" w:hAnsi="Arial"/>
        </w:rPr>
      </w:pPr>
      <w:r w:rsidDel="00000000" w:rsidR="00000000" w:rsidRPr="00000000">
        <w:rPr>
          <w:rFonts w:ascii="Arial" w:cs="Arial" w:eastAsia="Arial" w:hAnsi="Arial"/>
          <w:rtl w:val="0"/>
        </w:rPr>
        <w:t xml:space="preserve">Enumerators may incorrectly record hw_total_mother, hw_total_father, hours_paid_father, and hours_paid_mother due to human error or misreporting from survey takers. It is impossible to work more than 168 hours in a week (as that is the number of hours in a week) and highly unlikely to work more than 112 hours a week (subtracting at least 8 hours a day for sleep/leisure). Each of these values should be below 112 hours, and not less than 0.</w:t>
      </w:r>
    </w:p>
    <w:p w:rsidR="00000000" w:rsidDel="00000000" w:rsidP="00000000" w:rsidRDefault="00000000" w:rsidRPr="00000000" w14:paraId="0000000E">
      <w:pPr>
        <w:rPr>
          <w:rFonts w:ascii="Arial" w:cs="Arial" w:eastAsia="Arial" w:hAnsi="Arial"/>
          <w:b w:val="1"/>
          <w:bCs w:val="1"/>
        </w:rPr>
      </w:pPr>
      <w:r w:rsidDel="00000000" w:rsidR="00000000" w:rsidRPr="00000000">
        <w:rPr>
          <w:rFonts w:ascii="Arial" w:cs="Arial" w:eastAsia="Arial" w:hAnsi="Arial"/>
          <w:b w:val="1"/>
          <w:bCs w:val="1"/>
          <w:rtl w:val="0"/>
        </w:rPr>
        <w:t xml:space="preserve">Consistency check:</w:t>
      </w:r>
    </w:p>
    <w:p w:rsidR="00000000" w:rsidDel="00000000" w:rsidP="00000000" w:rsidRDefault="00000000" w:rsidRPr="00000000" w14:paraId="0000000F">
      <w:pPr>
        <w:ind w:firstLine="720"/>
        <w:rPr>
          <w:rFonts w:ascii="Arial" w:cs="Arial" w:eastAsia="Arial" w:hAnsi="Arial"/>
        </w:rPr>
      </w:pPr>
      <w:r w:rsidDel="00000000" w:rsidR="00000000" w:rsidRPr="00000000">
        <w:rPr>
          <w:rFonts w:ascii="Arial" w:cs="Arial" w:eastAsia="Arial" w:hAnsi="Arial"/>
          <w:rtl w:val="0"/>
        </w:rPr>
        <w:t xml:space="preserve">Further, the number of hours worked within the home and in paid work cannot exceed the possible range of weekly hours, so hw_total_mother + hours_paid_mother should not exceed 112 or dip below 0. The same is true for hw_total_father + hours_paid_father.</w:t>
      </w:r>
    </w:p>
    <w:p w:rsidR="00000000" w:rsidDel="00000000" w:rsidP="00000000" w:rsidRDefault="00000000" w:rsidRPr="00000000" w14:paraId="00000010">
      <w:pPr>
        <w:numPr>
          <w:ilvl w:val="0"/>
          <w:numId w:val="1"/>
        </w:numPr>
        <w:ind w:left="0" w:hanging="360"/>
        <w:rPr>
          <w:rFonts w:ascii="Arial" w:cs="Arial" w:eastAsia="Arial" w:hAnsi="Arial"/>
          <w:b w:val="1"/>
          <w:bCs w:val="1"/>
        </w:rPr>
      </w:pPr>
      <w:r w:rsidDel="00000000" w:rsidR="00000000" w:rsidRPr="00000000">
        <w:rPr>
          <w:rFonts w:ascii="Arial" w:cs="Arial" w:eastAsia="Arial" w:hAnsi="Arial"/>
          <w:b w:val="1"/>
          <w:bCs w:val="1"/>
          <w:rtl w:val="0"/>
        </w:rPr>
        <w:t xml:space="preserve">HFC Check: Duplicate Couple IDs &amp; Invalid Treatment Arm Codes</w:t>
      </w:r>
      <w:r w:rsidDel="00000000" w:rsidR="00000000" w:rsidRPr="00000000">
        <w:rPr>
          <w:rtl w:val="0"/>
        </w:rPr>
      </w:r>
    </w:p>
    <w:p w:rsidR="00000000" w:rsidDel="00000000" w:rsidP="00000000" w:rsidRDefault="00000000" w:rsidRPr="00000000" w14:paraId="00000011">
      <w:pPr>
        <w:spacing w:after="180" w:before="100" w:lineRule="auto"/>
        <w:ind w:firstLine="720"/>
        <w:jc w:val="both"/>
        <w:rPr>
          <w:rFonts w:ascii="Arial" w:cs="Arial" w:eastAsia="Arial" w:hAnsi="Arial"/>
        </w:rPr>
      </w:pPr>
      <w:r w:rsidDel="00000000" w:rsidR="00000000" w:rsidRPr="00000000">
        <w:rPr>
          <w:rFonts w:ascii="Arial" w:cs="Arial" w:eastAsia="Arial" w:hAnsi="Arial"/>
          <w:rtl w:val="0"/>
        </w:rPr>
        <w:t xml:space="preserve">In a household-level RCT, the couple is both the unit of randomization and the unit of observation. If two rows in the dataset share the same couple_id, one of two errors has occurred: (1) the same household was inadvertently surveyed twice by different enumerators, or (2) a data-entry error assigned an already-used identifier to a new household. Either scenario violates the independence of observations, which is a foundational assumption of the regression model. More critically, in the context of our 2×2 factorial design, a duplicate couple could appear to be assigned to two different treatment arms—inflating the apparent sample size in one arm while underrepresenting another. This would bias all intention-to-treat (ITT) estimates and invalidate the balance table produced at baseline. Duplicates must be identified and resolved before any merge, randomization verification, or analysis step.</w:t>
      </w:r>
    </w:p>
    <w:p w:rsidR="00000000" w:rsidDel="00000000" w:rsidP="00000000" w:rsidRDefault="00000000" w:rsidRPr="00000000" w14:paraId="00000012">
      <w:pPr>
        <w:spacing w:after="240" w:before="100" w:lineRule="auto"/>
        <w:ind w:firstLine="720"/>
        <w:jc w:val="both"/>
        <w:rPr>
          <w:rFonts w:ascii="Arial" w:cs="Arial" w:eastAsia="Arial" w:hAnsi="Arial"/>
        </w:rPr>
      </w:pPr>
      <w:r w:rsidDel="00000000" w:rsidR="00000000" w:rsidRPr="00000000">
        <w:rPr>
          <w:rFonts w:ascii="Arial" w:cs="Arial" w:eastAsia="Arial" w:hAnsi="Arial"/>
          <w:rtl w:val="0"/>
        </w:rPr>
        <w:t xml:space="preserve">The study uses a four-arm factorial design: Control (1), Father Quota only (2), Training Program only (3), and Combined (4). Any value outside this set—such as 0 or 5—indicates either a SurveyCTO skip-logic programming error, a manual data-entry override, or corruption during dataset export from the field server. An invalid arm code has two consequences. First, the observation would be silently excluded from all arm-specific subgroup analyses, producing an undetected loss of sample. Second, if the invalid code is mistakenly treated as a fifth arm, it would distort the randomization balance checks and the regression specification entirely. This check must be run after every data collection wave and before any randomization verification is performed.</w:t>
      </w:r>
    </w:p>
    <w:p w:rsidR="00000000" w:rsidDel="00000000" w:rsidP="00000000" w:rsidRDefault="00000000" w:rsidRPr="00000000" w14:paraId="00000013">
      <w:pPr>
        <w:ind w:left="720" w:firstLine="0"/>
        <w:rPr>
          <w:rFonts w:ascii="Arial" w:cs="Arial" w:eastAsia="Arial" w:hAnsi="Arial"/>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sl8bSWW0QMdy/OxsmAR1nr9Xwg==">CgMxLjA4AHIhMXkxUkNheF9GU3hWNDd6d21sQkdQN1JTVUt5QWxnQzZa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