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37.png" ContentType="image/png"/>
  <Override PartName="/word/media/rId26.png" ContentType="image/png"/>
  <Override PartName="/word/media/rId45.png" ContentType="image/png"/>
  <Override PartName="/word/media/rId31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FluviSense: Documento de Projeto</w:t>
      </w:r>
    </w:p>
    <w:p>
      <w:pPr>
        <w:pStyle w:val="Subtitle"/>
      </w:pPr>
      <w:r>
        <w:t xml:space="preserve">Projeto Integrador · Análise e Desenvolvimento de Sistemas · FMP</w:t>
      </w:r>
    </w:p>
    <w:p>
      <w:pPr>
        <w:pStyle w:val="Author"/>
      </w:pPr>
      <w:r>
        <w:t xml:space="preserve">Guilherme Bettoni Matiuzzi Pavão</w:t>
      </w:r>
    </w:p>
    <w:p>
      <w:pPr>
        <w:pStyle w:val="Date"/>
      </w:pPr>
      <w:r>
        <w:t xml:space="preserve">Outubro de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Sumário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visão-e-escopo"/>
    <w:p>
      <w:pPr>
        <w:pStyle w:val="Heading1"/>
      </w:pPr>
      <w:r>
        <w:t xml:space="preserve">Visão e escopo</w:t>
      </w:r>
    </w:p>
    <w:bookmarkStart w:id="20" w:name="problema"/>
    <w:p>
      <w:pPr>
        <w:pStyle w:val="Heading2"/>
      </w:pPr>
      <w:r>
        <w:t xml:space="preserve">Problema</w:t>
      </w:r>
    </w:p>
    <w:p>
      <w:pPr>
        <w:pStyle w:val="FirstParagraph"/>
      </w:pPr>
      <w:r>
        <w:t xml:space="preserve">Palhoça tem bairros que alagam com frequência quando os rios sobem. Os órgãos de monitoramento hidrológico, como Epagri/Ciram, Cemaden e Defesa Civil, trabalham com estações em pontos selecionados de cada bacia. Isso resulta em poucos pontos por município: na consulta feita pelo autor aos portais públicos desses órgãos em outubro de 2026, foi encontrado um único ponto de leitura de rio divulgado para Palhoça.</w:t>
      </w:r>
    </w:p>
    <w:p>
      <w:pPr>
        <w:pStyle w:val="BodyText"/>
      </w:pPr>
      <w:r>
        <w:t xml:space="preserve">Um ponto só não mostra o que acontece em trechos menores, como canais e afluentes perto de áreas que costumam alagar.</w:t>
      </w:r>
    </w:p>
    <w:bookmarkEnd w:id="20"/>
    <w:bookmarkStart w:id="21" w:name="proposta"/>
    <w:p>
      <w:pPr>
        <w:pStyle w:val="Heading2"/>
      </w:pPr>
      <w:r>
        <w:t xml:space="preserve">Proposta</w:t>
      </w:r>
    </w:p>
    <w:p>
      <w:pPr>
        <w:pStyle w:val="FirstParagraph"/>
      </w:pPr>
      <w:r>
        <w:t xml:space="preserve">O FluviSense monta uma rede de</w:t>
      </w:r>
      <w:r>
        <w:t xml:space="preserve"> </w:t>
      </w:r>
      <w:r>
        <w:rPr>
          <w:bCs/>
          <w:b/>
        </w:rPr>
        <w:t xml:space="preserve">micropontos de leitura</w:t>
      </w:r>
      <w:r>
        <w:t xml:space="preserve">. Em cada ponto, um sensor ultrassônico barato, instalado acima da água (numa ponte ou num poste na margem), mede a distância até a superfície do rio. O sistema:</w:t>
      </w:r>
    </w:p>
    <w:p>
      <w:pPr>
        <w:numPr>
          <w:ilvl w:val="0"/>
          <w:numId w:val="1001"/>
        </w:numPr>
        <w:pStyle w:val="Compact"/>
      </w:pPr>
      <w:r>
        <w:t xml:space="preserve">guarda as medições;</w:t>
      </w:r>
    </w:p>
    <w:p>
      <w:pPr>
        <w:numPr>
          <w:ilvl w:val="0"/>
          <w:numId w:val="1001"/>
        </w:numPr>
        <w:pStyle w:val="Compact"/>
      </w:pPr>
      <w:r>
        <w:t xml:space="preserve">confere se cada leitura é válida;</w:t>
      </w:r>
    </w:p>
    <w:p>
      <w:pPr>
        <w:numPr>
          <w:ilvl w:val="0"/>
          <w:numId w:val="1001"/>
        </w:numPr>
        <w:pStyle w:val="Compact"/>
      </w:pPr>
      <w:r>
        <w:t xml:space="preserve">mostra a situação de todos os pontos num mapa.</w:t>
      </w:r>
    </w:p>
    <w:p>
      <w:pPr>
        <w:pStyle w:val="FirstParagraph"/>
      </w:pPr>
      <w:r>
        <w:t xml:space="preserve">O FluviSense não substitui os órgãos oficiais. Ele amplia a quantidade de pontos acompanhados e pode servir de apoio a quem já faz esse monitoramento.</w:t>
      </w:r>
    </w:p>
    <w:bookmarkEnd w:id="21"/>
    <w:bookmarkStart w:id="22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Registrar e acompanhar, ponto a ponto, a distância entre o sensor e a superfície da água em rios de Palhoça, com dados confiáveis, histórico consultável e uma visualização clara da situação de cada ponto.</w:t>
      </w:r>
    </w:p>
    <w:bookmarkEnd w:id="22"/>
    <w:bookmarkStart w:id="23" w:name="o-que-o-sistema-faz"/>
    <w:p>
      <w:pPr>
        <w:pStyle w:val="Heading2"/>
      </w:pPr>
      <w:r>
        <w:t xml:space="preserve">O que o sistema faz</w:t>
      </w:r>
    </w:p>
    <w:p>
      <w:pPr>
        <w:numPr>
          <w:ilvl w:val="0"/>
          <w:numId w:val="1002"/>
        </w:numPr>
        <w:pStyle w:val="Compact"/>
      </w:pPr>
      <w:r>
        <w:t xml:space="preserve">Cadastro de</w:t>
      </w:r>
      <w:r>
        <w:t xml:space="preserve"> </w:t>
      </w:r>
      <w:r>
        <w:rPr>
          <w:bCs/>
          <w:b/>
        </w:rPr>
        <w:t xml:space="preserve">rios</w:t>
      </w:r>
      <w:r>
        <w:t xml:space="preserve"> </w:t>
      </w:r>
      <w:r>
        <w:t xml:space="preserve">e de</w:t>
      </w:r>
      <w:r>
        <w:t xml:space="preserve"> </w:t>
      </w:r>
      <w:r>
        <w:rPr>
          <w:bCs/>
          <w:b/>
        </w:rPr>
        <w:t xml:space="preserve">pontos de monitoramento</w:t>
      </w:r>
      <w:r>
        <w:t xml:space="preserve">. Cada ponto tem rio, localização e configuração própria.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Critérios de classificação</w:t>
      </w:r>
      <w:r>
        <w:t xml:space="preserve"> </w:t>
      </w:r>
      <w:r>
        <w:t xml:space="preserve">por ponto: três distâncias (atenção, alerta e crítico), definidas pelo operador. Elas ficam marcadas como provisórias enquanto não houver uma referência que as confirme.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Validação de cada leitura: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inválida</w:t>
      </w:r>
      <w:r>
        <w:t xml:space="preserve">: leitura impossível, como distância zero ou fora da faixa do sensor;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suspeita</w:t>
      </w:r>
      <w:r>
        <w:t xml:space="preserve">: salto brusco em relação às leituras anteriores;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desatualizada</w:t>
      </w:r>
      <w:r>
        <w:t xml:space="preserve">: dado antigo demais para representar o momento.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Registro de medições</w:t>
      </w:r>
      <w:r>
        <w:t xml:space="preserve"> </w:t>
      </w:r>
      <w:r>
        <w:t xml:space="preserve">com valor, unidade (cm), horário, ponto e origem. A origem pode ser sensor (com chave por ponto), manual (feita em campo pelo operador) ou simulada.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Simulação</w:t>
      </w:r>
      <w:r>
        <w:t xml:space="preserve"> </w:t>
      </w:r>
      <w:r>
        <w:t xml:space="preserve">de subida, descida e oscilação da água, separada dos dados reais, para testar a configuração de um ponto.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Histórico</w:t>
      </w:r>
      <w:r>
        <w:t xml:space="preserve"> </w:t>
      </w:r>
      <w:r>
        <w:t xml:space="preserve">por ponto, com gráfico e exportação em CSV.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Mapa público</w:t>
      </w:r>
      <w:r>
        <w:t xml:space="preserve"> </w:t>
      </w:r>
      <w:r>
        <w:t xml:space="preserve">só com dados reais, com filtros por rio e por situação.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Painel do operador</w:t>
      </w:r>
      <w:r>
        <w:t xml:space="preserve"> </w:t>
      </w:r>
      <w:r>
        <w:t xml:space="preserve">com a situação de todos os pontos.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Ocorrência manual</w:t>
      </w:r>
      <w:r>
        <w:t xml:space="preserve">: o operador registra uma observação de campo que prevalece sobre as medições até ser encerrada.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Auditoria</w:t>
      </w:r>
      <w:r>
        <w:t xml:space="preserve"> </w:t>
      </w:r>
      <w:r>
        <w:t xml:space="preserve">das alterações importantes.</w:t>
      </w:r>
    </w:p>
    <w:bookmarkEnd w:id="23"/>
    <w:bookmarkStart w:id="24" w:name="decisões-que-delimitam-o-sistema"/>
    <w:p>
      <w:pPr>
        <w:pStyle w:val="Heading2"/>
      </w:pPr>
      <w:r>
        <w:t xml:space="preserve">Decisões que delimitam o sistema</w:t>
      </w:r>
    </w:p>
    <w:p>
      <w:pPr>
        <w:numPr>
          <w:ilvl w:val="0"/>
          <w:numId w:val="1004"/>
        </w:numPr>
        <w:pStyle w:val="Compact"/>
      </w:pPr>
      <w:r>
        <w:t xml:space="preserve">A grandeza medida é a</w:t>
      </w:r>
      <w:r>
        <w:t xml:space="preserve"> </w:t>
      </w:r>
      <w:r>
        <w:rPr>
          <w:bCs/>
          <w:b/>
        </w:rPr>
        <w:t xml:space="preserve">distância</w:t>
      </w:r>
      <w:r>
        <w:t xml:space="preserve"> </w:t>
      </w:r>
      <w:r>
        <w:t xml:space="preserve">sensor → água. O sistema não calcula o nível absoluto do rio, porque isso exigiria a cota de instalação de cada sensor, que não está definida.</w:t>
      </w:r>
    </w:p>
    <w:p>
      <w:pPr>
        <w:numPr>
          <w:ilvl w:val="0"/>
          <w:numId w:val="1004"/>
        </w:numPr>
        <w:pStyle w:val="Compact"/>
      </w:pPr>
      <w:r>
        <w:t xml:space="preserve">O sistema não traz limiares oficiais. Os critérios de cada ponto são do operador e aparecem como provisórios.</w:t>
      </w:r>
    </w:p>
    <w:p>
      <w:pPr>
        <w:numPr>
          <w:ilvl w:val="0"/>
          <w:numId w:val="1004"/>
        </w:numPr>
        <w:pStyle w:val="Compact"/>
      </w:pPr>
      <w:r>
        <w:t xml:space="preserve">Há</w:t>
      </w:r>
      <w:r>
        <w:t xml:space="preserve"> </w:t>
      </w:r>
      <w:r>
        <w:rPr>
          <w:bCs/>
          <w:b/>
        </w:rPr>
        <w:t xml:space="preserve">um operador</w:t>
      </w:r>
      <w:r>
        <w:t xml:space="preserve"> </w:t>
      </w:r>
      <w:r>
        <w:t xml:space="preserve">por vez (regra da migração 002).</w:t>
      </w:r>
    </w:p>
    <w:p>
      <w:pPr>
        <w:numPr>
          <w:ilvl w:val="0"/>
          <w:numId w:val="1004"/>
        </w:numPr>
        <w:pStyle w:val="Compact"/>
      </w:pPr>
      <w:r>
        <w:t xml:space="preserve">O mapa usa Leaflet e OpenStreetMap, carregados pela internet. Sem eles, a lista de pontos continua funcionando.</w:t>
      </w:r>
    </w:p>
    <w:bookmarkEnd w:id="24"/>
    <w:bookmarkEnd w:id="25"/>
    <w:bookmarkStart w:id="52" w:name="arquitetura-e-dados"/>
    <w:p>
      <w:pPr>
        <w:pStyle w:val="Heading1"/>
      </w:pPr>
      <w:r>
        <w:t xml:space="preserve">Arquitetura e dados</w:t>
      </w:r>
    </w:p>
    <w:bookmarkStart w:id="30" w:name="componentes"/>
    <w:p>
      <w:pPr>
        <w:pStyle w:val="Heading2"/>
      </w:pPr>
      <w:r>
        <w:t xml:space="preserve">Componentes</w:t>
      </w:r>
    </w:p>
    <w:p>
      <w:pPr>
        <w:pStyle w:val="CaptionedFigure"/>
      </w:pPr>
      <w:r>
        <w:drawing>
          <wp:inline>
            <wp:extent cx="5334000" cy="2121477"/>
            <wp:effectExtent b="0" l="0" r="0" t="0"/>
            <wp:docPr descr="Componentes do sistema" title="" id="27" name="Picture"/>
            <a:graphic>
              <a:graphicData uri="http://schemas.openxmlformats.org/drawingml/2006/picture">
                <pic:pic>
                  <pic:nvPicPr>
                    <pic:cNvPr descr="diagramas/componente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1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Componentes do sistema</w:t>
      </w:r>
    </w:p>
    <w:p>
      <w:pPr>
        <w:pStyle w:val="BodyText"/>
      </w:pPr>
      <w:r>
        <w:t xml:space="preserve">O site é estático (HTML, CSS e JS, sem etapa de compilação). Toda regra de validação e de classificação fica na API, em</w:t>
      </w:r>
      <w:r>
        <w:t xml:space="preserve"> </w:t>
      </w:r>
      <w:r>
        <w:rPr>
          <w:rStyle w:val="VerbatimChar"/>
        </w:rPr>
        <w:t xml:space="preserve">servicos/medicoes.py</w:t>
      </w:r>
      <w:r>
        <w:t xml:space="preserve">. O site só exibe o que a API calcula, então não existe uma segunda cópia da regra que possa ficar diferente.</w:t>
      </w:r>
    </w:p>
    <w:bookmarkStart w:id="29" w:name="organização-do-site"/>
    <w:p>
      <w:pPr>
        <w:pStyle w:val="Heading3"/>
      </w:pPr>
      <w:r>
        <w:t xml:space="preserve">Organização do site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73"/>
        <w:gridCol w:w="47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Pasta / 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css/variaveis.css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Variáveis de design (cores, tipografia, espaçamento, raios, sombras, movimento) para os temas claro e escuro, no estilo Fluent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css/base.css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componentes.css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estrutura.css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paginas.css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responsivo.css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e foco visível; componentes (botão, campo, cartão, selo, tabela, diálogo, aviso, estados); estrutura; páginas; pontos de quebra (1200, 1024, 768 e 560 px)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js/interface.js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Componentes de interface: diálogo acessível (foco preso, Esc, não fecha formulário ao clicar fora), confirmação, aviso, botão ocupado, estados de carregando/vazio/erro, campos com erro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js/tema.js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 claro/escuro: segue o sistema na primeira visita e guarda a escolha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js/icones.js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Ícones de contorno em SVG, todos no mesmo traço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js/principal.js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configuracao.js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 de partida: liga as telas aos botões; endereço da API (local ou publicado)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js/api.js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dados.js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formatacao.js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estado.js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 à API, lista dos pontos carregados, formatação e estado da tela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js/mapa.js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painel.js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pontos.js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medicoes.js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simulacao.js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ocorrencias.js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auditoria.js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autenticacao.js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navegacao.js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tela ou função por arquivo</w:t>
            </w:r>
          </w:p>
        </w:tc>
      </w:tr>
    </w:tbl>
    <w:bookmarkEnd w:id="29"/>
    <w:bookmarkEnd w:id="30"/>
    <w:bookmarkStart w:id="36" w:name="modelo-de-dados"/>
    <w:p>
      <w:pPr>
        <w:pStyle w:val="Heading2"/>
      </w:pPr>
      <w:r>
        <w:t xml:space="preserve">Modelo de dados</w:t>
      </w:r>
    </w:p>
    <w:p>
      <w:pPr>
        <w:pStyle w:val="CaptionedFigure"/>
      </w:pPr>
      <w:r>
        <w:drawing>
          <wp:inline>
            <wp:extent cx="5334000" cy="3115733"/>
            <wp:effectExtent b="0" l="0" r="0" t="0"/>
            <wp:docPr descr="Modelo de dados" title="" id="32" name="Picture"/>
            <a:graphic>
              <a:graphicData uri="http://schemas.openxmlformats.org/drawingml/2006/picture">
                <pic:pic>
                  <pic:nvPicPr>
                    <pic:cNvPr descr="diagramas/modelo-dado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5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Modelo de dados</w:t>
      </w:r>
    </w:p>
    <w:p>
      <w:pPr>
        <w:pStyle w:val="BodyText"/>
      </w:pPr>
      <w:r>
        <w:t xml:space="preserve">Restrições no banco (criadas nas migrações 002 e 004, com os nomes atuais dados pela 006):</w:t>
      </w:r>
    </w:p>
    <w:p>
      <w:pPr>
        <w:numPr>
          <w:ilvl w:val="0"/>
          <w:numId w:val="1005"/>
        </w:numPr>
        <w:pStyle w:val="Compact"/>
      </w:pPr>
      <w:r>
        <w:t xml:space="preserve">código do ponto e nome do rio únicos;</w:t>
      </w:r>
    </w:p>
    <w:p>
      <w:pPr>
        <w:numPr>
          <w:ilvl w:val="0"/>
          <w:numId w:val="1005"/>
        </w:numPr>
        <w:pStyle w:val="Compact"/>
      </w:pPr>
      <w:r>
        <w:t xml:space="preserve">critérios todos vazios ou atenção &gt; alerta &gt; crítico &gt; 0;</w:t>
      </w:r>
    </w:p>
    <w:p>
      <w:pPr>
        <w:numPr>
          <w:ilvl w:val="0"/>
          <w:numId w:val="1005"/>
        </w:numPr>
        <w:pStyle w:val="Compact"/>
      </w:pPr>
      <w:r>
        <w:t xml:space="preserve">mínima &lt; máxima;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origem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validade</w:t>
      </w:r>
      <w:r>
        <w:t xml:space="preserve">,</w:t>
      </w:r>
      <w:r>
        <w:t xml:space="preserve"> </w:t>
      </w:r>
      <w:r>
        <w:rPr>
          <w:rStyle w:val="VerbatimChar"/>
        </w:rPr>
        <w:t xml:space="preserve">unidade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classificacao</w:t>
      </w:r>
      <w:r>
        <w:t xml:space="preserve"> </w:t>
      </w:r>
      <w:r>
        <w:t xml:space="preserve">só aceitam os valores listados;</w:t>
      </w:r>
    </w:p>
    <w:p>
      <w:pPr>
        <w:numPr>
          <w:ilvl w:val="0"/>
          <w:numId w:val="1005"/>
        </w:numPr>
        <w:pStyle w:val="Compact"/>
      </w:pPr>
      <w:r>
        <w:t xml:space="preserve">no máximo uma ocorrência aberta por ponto (índice único parcial);</w:t>
      </w:r>
    </w:p>
    <w:p>
      <w:pPr>
        <w:numPr>
          <w:ilvl w:val="0"/>
          <w:numId w:val="1005"/>
        </w:numPr>
        <w:pStyle w:val="Compact"/>
      </w:pPr>
      <w:r>
        <w:t xml:space="preserve">índice em</w:t>
      </w:r>
      <w:r>
        <w:t xml:space="preserve"> </w:t>
      </w:r>
      <w:r>
        <w:rPr>
          <w:rStyle w:val="VerbatimChar"/>
        </w:rPr>
        <w:t xml:space="preserve">(ponto_id, medida_em)</w:t>
      </w:r>
      <w:r>
        <w:t xml:space="preserve"> </w:t>
      </w:r>
      <w:r>
        <w:t xml:space="preserve">para o histórico.</w:t>
      </w:r>
    </w:p>
    <w:p>
      <w:pPr>
        <w:numPr>
          <w:ilvl w:val="0"/>
          <w:numId w:val="1005"/>
        </w:numPr>
        <w:pStyle w:val="Compact"/>
      </w:pPr>
      <w:r>
        <w:t xml:space="preserve">e-mail do operador único, sem diferenciar maiúsculas, e no máximo um operador ativo (migração 002).</w:t>
      </w:r>
    </w:p>
    <w:bookmarkStart w:id="34" w:name="por-que-estas-tabelas"/>
    <w:p>
      <w:pPr>
        <w:pStyle w:val="Heading3"/>
      </w:pPr>
      <w:r>
        <w:t xml:space="preserve">Por que estas tabelas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72"/>
        <w:gridCol w:w="3535"/>
        <w:gridCol w:w="30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que existe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ficou de fora e 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visão fala em pontos "em um ou mais rios". Uma tabela evita nomes digitados de jeitos diferentes e permite filtrar o mapa por rio.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pontos_monitoramento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 físico</w:t>
            </w:r>
            <w:r>
              <w:t xml:space="preserve"> </w:t>
            </w:r>
            <w:r>
              <w:rPr>
                <w:bCs/>
                <w:b/>
              </w:rPr>
              <w:t xml:space="preserve">e</w:t>
            </w:r>
            <w:r>
              <w:t xml:space="preserve"> </w:t>
            </w:r>
            <w:r>
              <w:t xml:space="preserve">o seu sensor, juntos (decisão D3). Guarda os critérios (RF03) e os parâmetros de validação (RF04).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Tabelas separadas de Sensor e Limiar: nenhum requisito atual pede vários sensores por ponto nem histórico de limiares fora da auditoria.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medicoes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 com valor, unidade, horário, origem e o resultado da validação, para explicar por que cada leitura foi aceita ou não.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Nível absoluto: sem referência de instalação, não seria um dado observado (RN01).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ocorrencias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 de campo do operador que prevalece sobre as medições (RF10).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do operador.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Moradores: saíram do escopo (sem notificações, não haveria finalidade para guardar dados pessoais).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eventos_auditoria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Rastreabilidade (RF11).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Nada.</w:t>
            </w:r>
          </w:p>
        </w:tc>
      </w:tr>
    </w:tbl>
    <w:p>
      <w:pPr>
        <w:pStyle w:val="BodyText"/>
      </w:pPr>
      <w:r>
        <w:t xml:space="preserve">Entidades do MER de junho de 2026 que não entraram: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EstadoPonto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EventoDeRisco</w:t>
      </w:r>
      <w:r>
        <w:t xml:space="preserve">: a situação é calculada da última medição; não há alertas com ciclo de vida.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ConfirmacaoAlagamento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Endereco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ConsentimentoLGPD</w:t>
      </w:r>
      <w:r>
        <w:t xml:space="preserve">,</w:t>
      </w:r>
      <w:r>
        <w:t xml:space="preserve"> </w:t>
      </w:r>
      <w:r>
        <w:rPr>
          <w:rStyle w:val="VerbatimChar"/>
        </w:rPr>
        <w:t xml:space="preserve">PedidoEmergencial</w:t>
      </w:r>
      <w:r>
        <w:t xml:space="preserve">,</w:t>
      </w:r>
      <w:r>
        <w:t xml:space="preserve"> </w:t>
      </w:r>
      <w:r>
        <w:rPr>
          <w:rStyle w:val="VerbatimChar"/>
        </w:rPr>
        <w:t xml:space="preserve">Morador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Abrigo</w:t>
      </w:r>
      <w:r>
        <w:t xml:space="preserve">: funcionalidades que saíram do escopo.</w:t>
      </w:r>
    </w:p>
    <w:bookmarkEnd w:id="34"/>
    <w:bookmarkStart w:id="35" w:name="tabelas-antigas"/>
    <w:p>
      <w:pPr>
        <w:pStyle w:val="Heading3"/>
      </w:pPr>
      <w:r>
        <w:t xml:space="preserve">Tabelas antigas</w:t>
      </w:r>
    </w:p>
    <w:p>
      <w:pPr>
        <w:pStyle w:val="FirstParagraph"/>
      </w:pPr>
      <w:r>
        <w:rPr>
          <w:rStyle w:val="VerbatimChar"/>
        </w:rPr>
        <w:t xml:space="preserve">sensores</w:t>
      </w:r>
      <w:r>
        <w:t xml:space="preserve">,</w:t>
      </w:r>
      <w:r>
        <w:t xml:space="preserve"> </w:t>
      </w:r>
      <w:r>
        <w:rPr>
          <w:rStyle w:val="VerbatimChar"/>
        </w:rPr>
        <w:t xml:space="preserve">leituras_sensores</w:t>
      </w:r>
      <w:r>
        <w:t xml:space="preserve">,</w:t>
      </w:r>
      <w:r>
        <w:t xml:space="preserve"> </w:t>
      </w:r>
      <w:r>
        <w:rPr>
          <w:rStyle w:val="VerbatimChar"/>
        </w:rPr>
        <w:t xml:space="preserve">moradores</w:t>
      </w:r>
      <w:r>
        <w:t xml:space="preserve">,</w:t>
      </w:r>
      <w:r>
        <w:t xml:space="preserve"> </w:t>
      </w:r>
      <w:r>
        <w:rPr>
          <w:rStyle w:val="VerbatimChar"/>
        </w:rPr>
        <w:t xml:space="preserve">abrigos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ocorrencias_manuais</w:t>
      </w:r>
      <w:r>
        <w:t xml:space="preserve"> </w:t>
      </w:r>
      <w:r>
        <w:t xml:space="preserve">foram usadas pelo MVP de 2026.1 (com os nomes em inglês</w:t>
      </w:r>
      <w:r>
        <w:t xml:space="preserve"> </w:t>
      </w:r>
      <w:r>
        <w:rPr>
          <w:rStyle w:val="VerbatimChar"/>
        </w:rPr>
        <w:t xml:space="preserve">sensors</w:t>
      </w:r>
      <w:r>
        <w:t xml:space="preserve">,</w:t>
      </w:r>
      <w:r>
        <w:t xml:space="preserve"> </w:t>
      </w:r>
      <w:r>
        <w:rPr>
          <w:rStyle w:val="VerbatimChar"/>
        </w:rPr>
        <w:t xml:space="preserve">sensor_readings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residents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shelters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manual_occurrences</w:t>
      </w:r>
      <w:r>
        <w:t xml:space="preserve">) e</w:t>
      </w:r>
      <w:r>
        <w:t xml:space="preserve"> </w:t>
      </w:r>
      <w:r>
        <w:rPr>
          <w:bCs/>
          <w:b/>
        </w:rPr>
        <w:t xml:space="preserve">não são mais lidas pela aplicação</w:t>
      </w:r>
      <w:r>
        <w:t xml:space="preserve">. A migração 004:</w:t>
      </w:r>
    </w:p>
    <w:p>
      <w:pPr>
        <w:numPr>
          <w:ilvl w:val="0"/>
          <w:numId w:val="1007"/>
        </w:numPr>
        <w:pStyle w:val="Compact"/>
      </w:pPr>
      <w:r>
        <w:t xml:space="preserve">copiou os sensores como pontos, sem rio e sem critérios, porque os limiares antigos eram de</w:t>
      </w:r>
      <w:r>
        <w:t xml:space="preserve"> </w:t>
      </w:r>
      <w:r>
        <w:rPr>
          <w:bCs/>
          <w:b/>
        </w:rPr>
        <w:t xml:space="preserve">nível</w:t>
      </w:r>
      <w:r>
        <w:t xml:space="preserve"> </w:t>
      </w:r>
      <w:r>
        <w:t xml:space="preserve">e não valem para distância;</w:t>
      </w:r>
    </w:p>
    <w:p>
      <w:pPr>
        <w:numPr>
          <w:ilvl w:val="0"/>
          <w:numId w:val="1007"/>
        </w:numPr>
        <w:pStyle w:val="Compact"/>
      </w:pPr>
      <w:r>
        <w:t xml:space="preserve">copiou as ocorrências manuais;</w:t>
      </w:r>
    </w:p>
    <w:p>
      <w:pPr>
        <w:numPr>
          <w:ilvl w:val="0"/>
          <w:numId w:val="1007"/>
        </w:numPr>
        <w:pStyle w:val="Compact"/>
      </w:pPr>
      <w:r>
        <w:t xml:space="preserve">não converteu as leituras antigas, que eram de nível.</w:t>
      </w:r>
    </w:p>
    <w:p>
      <w:pPr>
        <w:pStyle w:val="FirstParagraph"/>
      </w:pPr>
      <w:r>
        <w:t xml:space="preserve">As tabelas antigas continuam no banco com os mesmos dados; a migração 006 só trocou os nomes delas e das colunas para português. A tabela</w:t>
      </w:r>
      <w:r>
        <w:t xml:space="preserve"> </w:t>
      </w:r>
      <w:r>
        <w:rPr>
          <w:rStyle w:val="VerbatimChar"/>
        </w:rPr>
        <w:t xml:space="preserve">moradores</w:t>
      </w:r>
      <w:r>
        <w:t xml:space="preserve"> </w:t>
      </w:r>
      <w:r>
        <w:t xml:space="preserve">tem dados pessoais. Depois de conferir que nada mais é necessário, o responsável pelo banco deve apagá-la (</w:t>
      </w:r>
      <w:r>
        <w:rPr>
          <w:rStyle w:val="VerbatimChar"/>
        </w:rPr>
        <w:t xml:space="preserve">drop table moradores;</w:t>
      </w:r>
      <w:r>
        <w:t xml:space="preserve">), já que não há mais finalidade para esses dados. Essa remoção é manual e não está em nenhuma migração, de propósito.</w:t>
      </w:r>
    </w:p>
    <w:bookmarkEnd w:id="35"/>
    <w:bookmarkEnd w:id="36"/>
    <w:bookmarkStart w:id="40" w:name="classes-principais"/>
    <w:p>
      <w:pPr>
        <w:pStyle w:val="Heading2"/>
      </w:pPr>
      <w:r>
        <w:t xml:space="preserve">Classes principais</w:t>
      </w:r>
    </w:p>
    <w:p>
      <w:pPr>
        <w:pStyle w:val="CaptionedFigure"/>
      </w:pPr>
      <w:r>
        <w:drawing>
          <wp:inline>
            <wp:extent cx="5334000" cy="3687960"/>
            <wp:effectExtent b="0" l="0" r="0" t="0"/>
            <wp:docPr descr="Diagrama de classes" title="" id="38" name="Picture"/>
            <a:graphic>
              <a:graphicData uri="http://schemas.openxmlformats.org/drawingml/2006/picture">
                <pic:pic>
                  <pic:nvPicPr>
                    <pic:cNvPr descr="diagramas/classes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7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classes</w:t>
      </w:r>
    </w:p>
    <w:p>
      <w:pPr>
        <w:pStyle w:val="BodyText"/>
      </w:pPr>
      <w:r>
        <w:t xml:space="preserve">As classes de dados (</w:t>
      </w:r>
      <w:r>
        <w:rPr>
          <w:rStyle w:val="VerbatimChar"/>
        </w:rPr>
        <w:t xml:space="preserve">app/modelos.py</w:t>
      </w:r>
      <w:r>
        <w:t xml:space="preserve">) são tabelas do SQLAlchemy. As colunas de chave estrangeira (</w:t>
      </w:r>
      <w:r>
        <w:rPr>
          <w:rStyle w:val="VerbatimChar"/>
        </w:rPr>
        <w:t xml:space="preserve">rio_id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ponto_id</w:t>
      </w:r>
      <w:r>
        <w:t xml:space="preserve">) não aparecem como atributos, porque na UML a ligação entre as classes já é mostrada pelas associações (as linhas com 1 e 0..*). As regras não ficam em classes: ficam em funções dos módulos</w:t>
      </w:r>
      <w:r>
        <w:t xml:space="preserve"> </w:t>
      </w:r>
      <w:r>
        <w:rPr>
          <w:rStyle w:val="VerbatimChar"/>
        </w:rPr>
        <w:t xml:space="preserve">servicos/medicoes.py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servicos/simulacao.py</w:t>
      </w:r>
      <w:r>
        <w:t xml:space="preserve">, que o diagrama mostra com o estereótipo «módulo».</w:t>
      </w:r>
      <w:r>
        <w:t xml:space="preserve"> </w:t>
      </w:r>
      <w:r>
        <w:rPr>
          <w:rStyle w:val="VerbatimChar"/>
        </w:rPr>
        <w:t xml:space="preserve">gerar_serie</w:t>
      </w:r>
      <w:r>
        <w:t xml:space="preserve"> </w:t>
      </w:r>
      <w:r>
        <w:t xml:space="preserve">só calcula os valores da série; a rota de simulação (</w:t>
      </w:r>
      <w:r>
        <w:rPr>
          <w:rStyle w:val="VerbatimChar"/>
        </w:rPr>
        <w:t xml:space="preserve">rotas/medicoes.py</w:t>
      </w:r>
      <w:r>
        <w:t xml:space="preserve">) grava cada valor com a mesma</w:t>
      </w:r>
      <w:r>
        <w:t xml:space="preserve"> </w:t>
      </w:r>
      <w:r>
        <w:rPr>
          <w:rStyle w:val="VerbatimChar"/>
        </w:rPr>
        <w:t xml:space="preserve">registrar_medicao</w:t>
      </w:r>
      <w:r>
        <w:t xml:space="preserve"> </w:t>
      </w:r>
      <w:r>
        <w:t xml:space="preserve">usada pelas medições reais, então as simuladas recebem a mesma validação.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EventoAuditoria</w:t>
      </w:r>
      <w:r>
        <w:t xml:space="preserve"> </w:t>
      </w:r>
      <w:r>
        <w:t xml:space="preserve">não têm relação com as outras tabelas: a auditoria guarda o e-mail de quem agiu como texto.</w:t>
      </w:r>
    </w:p>
    <w:bookmarkEnd w:id="40"/>
    <w:bookmarkStart w:id="44" w:name="casos-de-uso"/>
    <w:p>
      <w:pPr>
        <w:pStyle w:val="Heading2"/>
      </w:pPr>
      <w:r>
        <w:t xml:space="preserve">Casos de uso</w:t>
      </w:r>
    </w:p>
    <w:p>
      <w:pPr>
        <w:pStyle w:val="CaptionedFigure"/>
      </w:pPr>
      <w:r>
        <w:drawing>
          <wp:inline>
            <wp:extent cx="5334000" cy="3573780"/>
            <wp:effectExtent b="0" l="0" r="0" t="0"/>
            <wp:docPr descr="Diagrama de casos de uso" title="" id="42" name="Picture"/>
            <a:graphic>
              <a:graphicData uri="http://schemas.openxmlformats.org/drawingml/2006/picture">
                <pic:pic>
                  <pic:nvPicPr>
                    <pic:cNvPr descr="diagramas/casos-de-uso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3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casos de uso</w:t>
      </w:r>
    </w:p>
    <w:bookmarkEnd w:id="44"/>
    <w:bookmarkStart w:id="48" w:name="fluxo-de-uma-medição"/>
    <w:p>
      <w:pPr>
        <w:pStyle w:val="Heading2"/>
      </w:pPr>
      <w:r>
        <w:t xml:space="preserve">Fluxo de uma medição</w:t>
      </w:r>
    </w:p>
    <w:p>
      <w:pPr>
        <w:pStyle w:val="CaptionedFigure"/>
      </w:pPr>
      <w:r>
        <w:drawing>
          <wp:inline>
            <wp:extent cx="5334000" cy="4371840"/>
            <wp:effectExtent b="0" l="0" r="0" t="0"/>
            <wp:docPr descr="Fluxo de uma medição" title="" id="46" name="Picture"/>
            <a:graphic>
              <a:graphicData uri="http://schemas.openxmlformats.org/drawingml/2006/picture">
                <pic:pic>
                  <pic:nvPicPr>
                    <pic:cNvPr descr="diagramas/fluxo-medicao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Fluxo de uma medição</w:t>
      </w:r>
    </w:p>
    <w:bookmarkEnd w:id="48"/>
    <w:bookmarkStart w:id="49" w:name="X4e2eccc184e832d52e7f8562038854704f3d139"/>
    <w:p>
      <w:pPr>
        <w:pStyle w:val="Heading2"/>
      </w:pPr>
      <w:r>
        <w:t xml:space="preserve">Nomes em português e nomes padrão das ferramentas</w:t>
      </w:r>
    </w:p>
    <w:p>
      <w:pPr>
        <w:pStyle w:val="FirstParagraph"/>
      </w:pPr>
      <w:r>
        <w:t xml:space="preserve">Tabelas, colunas, modelos, rotas e campos do JSON da API estão em português, com os mesmos termos usados nos requisitos (ponto, medição, ocorrência, validade, situação). Por isso não é preciso uma tabela de tradução entre o documento e o código. O que é convenção de ferramenta ficou com o nome padrão: variáveis de ambiente (</w:t>
      </w:r>
      <w:r>
        <w:rPr>
          <w:rStyle w:val="VerbatimChar"/>
        </w:rPr>
        <w:t xml:space="preserve">DATABASE_URL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JWT_SECRET_KEY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APP_ENV</w:t>
      </w:r>
      <w:r>
        <w:t xml:space="preserve">,</w:t>
      </w:r>
      <w:r>
        <w:t xml:space="preserve"> </w:t>
      </w:r>
      <w:r>
        <w:rPr>
          <w:rStyle w:val="VerbatimChar"/>
        </w:rPr>
        <w:t xml:space="preserve">CORS_ORIGINS</w:t>
      </w:r>
      <w:r>
        <w:t xml:space="preserve">), a estrutura</w:t>
      </w:r>
      <w:r>
        <w:t xml:space="preserve"> </w:t>
      </w:r>
      <w:r>
        <w:rPr>
          <w:rStyle w:val="VerbatimChar"/>
        </w:rPr>
        <w:t xml:space="preserve">app/main.py</w:t>
      </w:r>
      <w:r>
        <w:t xml:space="preserve"> </w:t>
      </w:r>
      <w:r>
        <w:t xml:space="preserve">do FastAPI e as pastas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migrations/</w:t>
      </w:r>
      <w:r>
        <w:t xml:space="preserve">. A lista completa está na decisão D22.</w:t>
      </w:r>
    </w:p>
    <w:p>
      <w:pPr>
        <w:pStyle w:val="BodyText"/>
      </w:pPr>
      <w:r>
        <w:t xml:space="preserve">Valores que o sistema grava e exibe: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5"/>
        <w:gridCol w:w="45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</w:t>
            </w:r>
            <w:r>
              <w:t xml:space="preserve"> </w:t>
            </w:r>
            <w:r>
              <w:t xml:space="preserve">(medição)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simulada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validade</w:t>
            </w:r>
            <w:r>
              <w:t xml:space="preserve"> </w:t>
            </w:r>
            <w:r>
              <w:t xml:space="preserve">(medição)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suspeita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situacao</w:t>
            </w:r>
            <w:r>
              <w:t xml:space="preserve"> </w:t>
            </w:r>
            <w:r>
              <w:t xml:space="preserve">(ponto)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amarelo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laranja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vermelho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sem_criterio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sem_dados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desatualizado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perfil</w:t>
            </w:r>
            <w:r>
              <w:t xml:space="preserve"> </w:t>
            </w:r>
            <w:r>
              <w:t xml:space="preserve">(usuário)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OPERADOR</w:t>
            </w:r>
          </w:p>
        </w:tc>
      </w:tr>
    </w:tbl>
    <w:bookmarkEnd w:id="49"/>
    <w:bookmarkStart w:id="50" w:name="api"/>
    <w:p>
      <w:pPr>
        <w:pStyle w:val="Heading2"/>
      </w:pPr>
      <w:r>
        <w:t xml:space="preserve">API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58"/>
        <w:gridCol w:w="1742"/>
        <w:gridCol w:w="28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 e 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/api/saude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 a API e o banco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/api/autenticacao/login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(bloqueia por 15 min depois de 5 senhas erradas)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/api/autenticacao/operador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do operador logado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/api/publico/pontos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Pontos ativos com situação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Rios e número de pontos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/api/rios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/api/rios/{id}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 /api/rios/{id}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Rios (excluir só se não houver pontos ligados)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/api/pontos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GET/PUT/DELETE /api/pontos/{id}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Pontos (DELETE desativa)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/api/pontos/{id}/definitivo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 de vez um ponto sem medição real e sem ocorrência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/api/pontos/{id}/chave-sensor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 ou troca a chave do sensor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/api/pontos/{id}/medicoes?modo=real|simulada|todas&amp;desde=&amp;ate=&amp;limite=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/api/pontos/{id}/medicoes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Medição manual ou simulada avulsa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/api/pontos/{id}/simulacoes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Série simulada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/api/pontos/{id}/medicoes/simuladas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Apaga só as simuladas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/api/sensor/medicoes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 do ponto (cabeçalho</w:t>
            </w:r>
            <w:r>
              <w:t xml:space="preserve"> </w:t>
            </w:r>
            <w:r>
              <w:rPr>
                <w:rStyle w:val="VerbatimChar"/>
              </w:rPr>
              <w:t xml:space="preserve">X-Chave-Sensor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Medição de sensor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/api/ocorrencias?situacao=abertas|todas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/api/pontos/{id}/ocorrencias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/api/ocorrencias/{id}/encerrar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Ocorrências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/api/auditoria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</w:t>
            </w:r>
          </w:p>
        </w:tc>
      </w:tr>
    </w:tbl>
    <w:p>
      <w:pPr>
        <w:pStyle w:val="BodyText"/>
      </w:pPr>
      <w:r>
        <w:t xml:space="preserve">Os erros vêm no formato</w:t>
      </w:r>
      <w:r>
        <w:t xml:space="preserve"> </w:t>
      </w:r>
      <w:r>
        <w:rPr>
          <w:rStyle w:val="VerbatimChar"/>
        </w:rPr>
        <w:t xml:space="preserve">{"detalhe": "texto"}</w:t>
      </w:r>
      <w:r>
        <w:t xml:space="preserve"> </w:t>
      </w:r>
      <w:r>
        <w:t xml:space="preserve">ou, quando há campo inválido,</w:t>
      </w:r>
      <w:r>
        <w:t xml:space="preserve"> </w:t>
      </w:r>
      <w:r>
        <w:rPr>
          <w:rStyle w:val="VerbatimChar"/>
        </w:rPr>
        <w:t xml:space="preserve">{"detalhe": [{"campo": "...", "mensagem": "..."}]}</w:t>
      </w:r>
      <w:r>
        <w:t xml:space="preserve">.</w:t>
      </w:r>
    </w:p>
    <w:bookmarkEnd w:id="50"/>
    <w:bookmarkStart w:id="51" w:name="migrações"/>
    <w:p>
      <w:pPr>
        <w:pStyle w:val="Heading2"/>
      </w:pPr>
      <w:r>
        <w:t xml:space="preserve">Migrações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04"/>
        <w:gridCol w:w="51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001_esquema_base.sql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Tabelas do MVP de 2026.1, reconstruídas a partir dos modelos SQLAlchemy antigos. Usa</w:t>
            </w:r>
            <w:r>
              <w:t xml:space="preserve"> </w:t>
            </w:r>
            <w:r>
              <w:rPr>
                <w:rStyle w:val="VerbatimChar"/>
              </w:rPr>
              <w:t xml:space="preserve">if not exists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002_autenticacao_operador.sql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de usuários e a regra de um operador ativo (original, sem mudança).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003_limiares_positivos_sensores.sql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Restrição dos limiares antigos (original, sem mudança).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004_monitoramento_por_distancia.sql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2.0 e cópia dos dados aproveitáveis. Reversão em</w:t>
            </w:r>
            <w:r>
              <w:t xml:space="preserve"> </w:t>
            </w:r>
            <w:r>
              <w:rPr>
                <w:rStyle w:val="VerbatimChar"/>
              </w:rPr>
              <w:t xml:space="preserve">reverter/004_reverter.sql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005_seguranca_por_linha.sql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Liga a RLS em todas as tabelas (a API é dona das tabelas e não é afetada). Reversão em</w:t>
            </w:r>
            <w:r>
              <w:t xml:space="preserve"> </w:t>
            </w:r>
            <w:r>
              <w:rPr>
                <w:rStyle w:val="VerbatimChar"/>
              </w:rPr>
              <w:t xml:space="preserve">reverter/005_reverter.sql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006_nomes_em_portugues.sql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Renomeia tabelas, colunas, restrições, índices e sequências para português, sem apagar dados, e troca o perfil</w:t>
            </w:r>
            <w:r>
              <w:t xml:space="preserve"> </w:t>
            </w:r>
            <w:r>
              <w:rPr>
                <w:rStyle w:val="VerbatimChar"/>
              </w:rPr>
              <w:t xml:space="preserve">OPERATOR</w:t>
            </w:r>
            <w:r>
              <w:t xml:space="preserve"> </w:t>
            </w:r>
            <w:r>
              <w:t xml:space="preserve">por</w:t>
            </w:r>
            <w:r>
              <w:t xml:space="preserve"> </w:t>
            </w:r>
            <w:r>
              <w:rPr>
                <w:rStyle w:val="VerbatimChar"/>
              </w:rPr>
              <w:t xml:space="preserve">OPERADOR</w:t>
            </w:r>
            <w:r>
              <w:t xml:space="preserve">. Reversão em</w:t>
            </w:r>
            <w:r>
              <w:t xml:space="preserve"> </w:t>
            </w:r>
            <w:r>
              <w:rPr>
                <w:rStyle w:val="VerbatimChar"/>
              </w:rPr>
              <w:t xml:space="preserve">reverter/006_reverter.sql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As migrações 001 a 005 ficaram com o conteúdo original, com os nomes em inglês da época, porque são o registro do que já foi executado no Supabase; só os nomes dos arquivos mudaram. Por isso, o modelo de dados acima vale depois da 006.</w:t>
      </w:r>
    </w:p>
    <w:p>
      <w:pPr>
        <w:pStyle w:val="BodyText"/>
      </w:pPr>
      <w:r>
        <w:rPr>
          <w:rStyle w:val="VerbatimChar"/>
        </w:rPr>
        <w:t xml:space="preserve">scripts/migrar.py</w:t>
      </w:r>
      <w:r>
        <w:t xml:space="preserve"> </w:t>
      </w:r>
      <w:r>
        <w:t xml:space="preserve">aplica as pendentes e registra cada uma na tabela</w:t>
      </w:r>
      <w:r>
        <w:t xml:space="preserve"> </w:t>
      </w:r>
      <w:r>
        <w:rPr>
          <w:rStyle w:val="VerbatimChar"/>
        </w:rPr>
        <w:t xml:space="preserve">migracoes_aplicadas</w:t>
      </w:r>
      <w:r>
        <w:t xml:space="preserve">. Num banco que já tinha as migrações antigas (registradas em</w:t>
      </w:r>
      <w:r>
        <w:t xml:space="preserve"> </w:t>
      </w:r>
      <w:r>
        <w:rPr>
          <w:rStyle w:val="VerbatimChar"/>
        </w:rPr>
        <w:t xml:space="preserve">schema_migrations</w:t>
      </w:r>
      <w:r>
        <w:t xml:space="preserve">, com os nomes de arquivo em inglês), o script renomeia esse registro e reconhece os nomes antigos, então nada é aplicado duas vezes.</w:t>
      </w:r>
    </w:p>
    <w:bookmarkEnd w:id="51"/>
    <w:bookmarkEnd w:id="52"/>
    <w:bookmarkStart w:id="87" w:name="validação"/>
    <w:p>
      <w:pPr>
        <w:pStyle w:val="Heading1"/>
      </w:pPr>
      <w:r>
        <w:t xml:space="preserve">Validação</w:t>
      </w:r>
    </w:p>
    <w:p>
      <w:pPr>
        <w:pStyle w:val="FirstParagraph"/>
      </w:pPr>
      <w:r>
        <w:t xml:space="preserve">Resultados reais das execuções de 21/10/2026 a 28/10/2026, num ambiente Linux com Python 3.13 e PostgreSQL 16 local. Em 28/10/2026, os testes com SQLite também passaram com Python 3.11 e 3.12. Os números abaixo são da última execução, em 28/10/2026, já com os nomes em português no banco e na API, e com os nomes padrão das ferramentas mantidos (decisão D22). Os mesmos testes podem ser repetidos seguindo o README.</w:t>
      </w:r>
    </w:p>
    <w:bookmarkStart w:id="53" w:name="testes-automatizados-da-api-apitests"/>
    <w:p>
      <w:pPr>
        <w:pStyle w:val="Heading2"/>
      </w:pPr>
      <w:r>
        <w:t xml:space="preserve">Testes automatizados da API (</w:t>
      </w:r>
      <w:r>
        <w:rPr>
          <w:rStyle w:val="VerbatimChar"/>
        </w:rPr>
        <w:t xml:space="preserve">api/tests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001"/>
        <w:gridCol w:w="39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Execução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pytest</w:t>
            </w:r>
            <w:r>
              <w:t xml:space="preserve"> </w:t>
            </w:r>
            <w:r>
              <w:t xml:space="preserve">(SQLite temporário), em Python 3.11, 3.12 e 3.13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66 aprovados, 3 ignorados</w:t>
            </w:r>
            <w:r>
              <w:t xml:space="preserve"> </w:t>
            </w:r>
            <w:r>
              <w:t xml:space="preserve">em cada versão. Os ignorados são os dois testes de migrações e o teste de RLS, que só rodam em PostgreSQL.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TEST_DATABASE_URL=postgresql://... pytest</w:t>
            </w:r>
            <w:r>
              <w:t xml:space="preserve"> </w:t>
            </w:r>
            <w:r>
              <w:t xml:space="preserve">(PostgreSQL 16, banco criado pelas migrações 001 a 006)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69 aprovados</w:t>
            </w:r>
          </w:p>
        </w:tc>
      </w:tr>
    </w:tbl>
    <w:p>
      <w:pPr>
        <w:pStyle w:val="BodyText"/>
      </w:pPr>
      <w:r>
        <w:t xml:space="preserve">O que os testes cobrem: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3"/>
        <w:gridCol w:w="57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test_autenticacao.py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Login; 17 rotas administrativas recusadas sem token; token inválido e token de outro papel; rotas públicas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test_pontos.py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Vários pontos com configuração própria; código duplicado; rio inexistente; critérios incompletos ou fora de ordem; auditoria com antes e depois; desativação que mantém o histórico; rios; API pública sem dados internos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test_medicoes.py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Valor, unidade, horário, ponto e origem; histórico ordenado e filtrado; horário no futuro; leituras inválidas guardadas sem mudar a situação; salto brusco suspeito e exibido; mudança sustentada confirmada sem travar; pico isolado; limite de salto por ponto; classificação por distância; ponto sem critério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test_simulacao_e_situacao.py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Subida, descida e oscilação; simulação inválida; simulado não contamina real nem mapa; limpeza só das simuladas; dado desatualizado; ponto sem medição; ocorrência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test_exclusoes.py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Exclusão de rio vazio; rio com ponto (até desativado) recusado; rio liberado após mover o ponto; exclusão de ponto só com dados simulados (que saem junto e liberam o código); ponto com medição real ou ocorrência recusado; exclusão sem login e de ponto inexistente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test_sensor_e_auditoria.py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 do sensor (sem chave, chave errada, chave de outro ponto, chave trocada); auditoria sem segredos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test_seguranca.py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Bloqueio do login depois de 5 senhas erradas (HTTP 429), desbloqueio depois do prazo, acerto zera a contagem, recusa de segredo JWT curto, RLS ligada em todas as tabelas (só PostgreSQL)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test_mensagens.py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Erros de validação e de rota inexistente saem em português; as mensagens das regras do projeto continuam iguais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test_migracoes.py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 coluna usada pelos modelos (</w:t>
            </w:r>
            <w:r>
              <w:rPr>
                <w:rStyle w:val="VerbatimChar"/>
              </w:rPr>
              <w:t xml:space="preserve">app/modelos.py</w:t>
            </w:r>
            <w:r>
              <w:t xml:space="preserve">) existe no banco criado pelas migrações; depois da 006, nenhuma tabela, coluna, restrição ou índice ficou com nome em inglês</w:t>
            </w:r>
          </w:p>
        </w:tc>
      </w:tr>
    </w:tbl>
    <w:bookmarkEnd w:id="53"/>
    <w:bookmarkStart w:id="54" w:name="migrações-1"/>
    <w:p>
      <w:pPr>
        <w:pStyle w:val="Heading2"/>
      </w:pPr>
      <w:r>
        <w:t xml:space="preserve">Migrações</w:t>
      </w:r>
    </w:p>
    <w:p>
      <w:pPr>
        <w:pStyle w:val="FirstParagraph"/>
      </w:pPr>
      <w:r>
        <w:t xml:space="preserve">Verificado em PostgreSQL 16 local: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Banco vazio:</w:t>
      </w:r>
      <w:r>
        <w:t xml:space="preserve"> </w:t>
      </w:r>
      <w:r>
        <w:rPr>
          <w:rStyle w:val="VerbatimChar"/>
        </w:rPr>
        <w:t xml:space="preserve">migrar.py</w:t>
      </w:r>
      <w:r>
        <w:t xml:space="preserve"> </w:t>
      </w:r>
      <w:r>
        <w:t xml:space="preserve">aplicou 001 a 006; uma segunda execução respondeu "Nenhuma migração pendente".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Banco no formato do MVP antigo</w:t>
      </w:r>
      <w:r>
        <w:t xml:space="preserve"> </w:t>
      </w:r>
      <w:r>
        <w:t xml:space="preserve">(tabelas criadas pelos modelos de 2026.1, com um sensor, uma leitura, uma ocorrência encerrada, um morador e um abrigo):</w:t>
      </w:r>
    </w:p>
    <w:p>
      <w:pPr>
        <w:numPr>
          <w:ilvl w:val="1"/>
          <w:numId w:val="1009"/>
        </w:numPr>
        <w:pStyle w:val="Compact"/>
      </w:pPr>
      <w:r>
        <w:t xml:space="preserve">a 004 criou as tabelas novas;</w:t>
      </w:r>
    </w:p>
    <w:p>
      <w:pPr>
        <w:numPr>
          <w:ilvl w:val="1"/>
          <w:numId w:val="1009"/>
        </w:numPr>
        <w:pStyle w:val="Compact"/>
      </w:pPr>
      <w:r>
        <w:t xml:space="preserve">copiou o sensor como ponto (sem rio e sem critérios) e copiou a ocorrência;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não alterou</w:t>
      </w:r>
      <w:r>
        <w:t xml:space="preserve"> </w:t>
      </w:r>
      <w:r>
        <w:t xml:space="preserve">as tabelas antigas: leitura e morador continuaram lá.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Reversão:</w:t>
      </w:r>
      <w:r>
        <w:t xml:space="preserve"> </w:t>
      </w:r>
      <w:r>
        <w:rPr>
          <w:rStyle w:val="VerbatimChar"/>
        </w:rPr>
        <w:t xml:space="preserve">reverter/004_reverter.sql</w:t>
      </w:r>
      <w:r>
        <w:t xml:space="preserve"> </w:t>
      </w:r>
      <w:r>
        <w:t xml:space="preserve">removeu só as tabelas novas. Reaplicar a 004 depois disso recriou tudo e copiou os dados de novo.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Criação do operador:</w:t>
      </w:r>
      <w:r>
        <w:t xml:space="preserve"> </w:t>
      </w:r>
      <w:r>
        <w:rPr>
          <w:rStyle w:val="VerbatimChar"/>
        </w:rPr>
        <w:t xml:space="preserve">criar_operador.py</w:t>
      </w:r>
      <w:r>
        <w:t xml:space="preserve"> </w:t>
      </w:r>
      <w:r>
        <w:t xml:space="preserve">criou o operador e</w:t>
      </w:r>
      <w:r>
        <w:t xml:space="preserve"> </w:t>
      </w:r>
      <w:r>
        <w:rPr>
          <w:bCs/>
          <w:b/>
        </w:rPr>
        <w:t xml:space="preserve">recusou</w:t>
      </w:r>
      <w:r>
        <w:t xml:space="preserve"> </w:t>
      </w:r>
      <w:r>
        <w:t xml:space="preserve">criar um segundo operador ativo.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Troca dos nomes para português (006) num banco com dados.</w:t>
      </w:r>
      <w:r>
        <w:t xml:space="preserve"> </w:t>
      </w:r>
      <w:r>
        <w:t xml:space="preserve">Partindo de uma cópia de um banco já no estado da 005, com dados de demonstração (5 rios, 7 pontos, 150 medições, 2 ocorrências e 36 registros de auditoria):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migrar.py</w:t>
      </w:r>
      <w:r>
        <w:t xml:space="preserve"> </w:t>
      </w:r>
      <w:r>
        <w:t xml:space="preserve">reconheceu o registro antigo (</w:t>
      </w:r>
      <w:r>
        <w:rPr>
          <w:rStyle w:val="VerbatimChar"/>
        </w:rPr>
        <w:t xml:space="preserve">schema_migrations</w:t>
      </w:r>
      <w:r>
        <w:t xml:space="preserve">, com os nomes de arquivo em inglês) e aplicou só a 006;</w:t>
      </w:r>
    </w:p>
    <w:p>
      <w:pPr>
        <w:numPr>
          <w:ilvl w:val="1"/>
          <w:numId w:val="1010"/>
        </w:numPr>
        <w:pStyle w:val="Compact"/>
      </w:pPr>
      <w:r>
        <w:t xml:space="preserve">depois da 006, as quantidades continuaram as mesmas, e a soma das 150 distâncias também (34.969,90 cm antes e depois), o que mostra que nenhum valor foi alterado;</w:t>
      </w:r>
    </w:p>
    <w:p>
      <w:pPr>
        <w:numPr>
          <w:ilvl w:val="1"/>
          <w:numId w:val="1010"/>
        </w:numPr>
        <w:pStyle w:val="Compact"/>
      </w:pPr>
      <w:r>
        <w:t xml:space="preserve">o perfil do operador passou de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OPERADOR</w:t>
      </w:r>
      <w:r>
        <w:t xml:space="preserve">, e o login continuou funcionando;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reverter/006_reverter.sql</w:t>
      </w:r>
      <w:r>
        <w:t xml:space="preserve"> </w:t>
      </w:r>
      <w:r>
        <w:t xml:space="preserve">devolveu os nomes em inglês, e rodar</w:t>
      </w:r>
      <w:r>
        <w:t xml:space="preserve"> </w:t>
      </w:r>
      <w:r>
        <w:rPr>
          <w:rStyle w:val="VerbatimChar"/>
        </w:rPr>
        <w:t xml:space="preserve">migrar.py</w:t>
      </w:r>
      <w:r>
        <w:t xml:space="preserve"> </w:t>
      </w:r>
      <w:r>
        <w:t xml:space="preserve">de novo reaplicou a 006.</w:t>
      </w:r>
    </w:p>
    <w:p>
      <w:pPr>
        <w:pStyle w:val="FirstParagraph"/>
      </w:pPr>
      <w:r>
        <w:rPr>
          <w:bCs/>
          <w:b/>
        </w:rPr>
        <w:t xml:space="preserve">Não verificado:</w:t>
      </w:r>
      <w:r>
        <w:t xml:space="preserve"> </w:t>
      </w:r>
      <w:r>
        <w:t xml:space="preserve">a aplicação das migrações no banco real do Supabase, porque não há acesso a ele neste ambiente. O esquema real também não pôde ser conferido; a 001 foi reconstruída a partir dos modelos antigos. Antes de rodar em produção, faça o backup indicado no README.</w:t>
      </w:r>
    </w:p>
    <w:bookmarkEnd w:id="54"/>
    <w:bookmarkStart w:id="55" w:name="segurança-conferida-com-a-api-ligada"/>
    <w:p>
      <w:pPr>
        <w:pStyle w:val="Heading2"/>
      </w:pPr>
      <w:r>
        <w:t xml:space="preserve">Segurança, conferida com a API ligada</w:t>
      </w:r>
    </w:p>
    <w:p>
      <w:pPr>
        <w:numPr>
          <w:ilvl w:val="0"/>
          <w:numId w:val="1011"/>
        </w:numPr>
        <w:pStyle w:val="Compact"/>
      </w:pPr>
      <w:r>
        <w:t xml:space="preserve">Sem</w:t>
      </w:r>
      <w:r>
        <w:t xml:space="preserve"> </w:t>
      </w:r>
      <w:r>
        <w:rPr>
          <w:rStyle w:val="VerbatimChar"/>
        </w:rPr>
        <w:t xml:space="preserve">JWT_SECRET_KEY</w:t>
      </w:r>
      <w:r>
        <w:t xml:space="preserve"> </w:t>
      </w:r>
      <w:r>
        <w:t xml:space="preserve">(ou com menos de 32 caracteres), a API não liga e mostra como gerar um segredo.</w:t>
      </w:r>
    </w:p>
    <w:p>
      <w:pPr>
        <w:numPr>
          <w:ilvl w:val="0"/>
          <w:numId w:val="1011"/>
        </w:numPr>
        <w:pStyle w:val="Compact"/>
      </w:pPr>
      <w:r>
        <w:t xml:space="preserve">Seis tentativas de login com senha errada: as cinco primeiras responderam 401 e a sexta respondeu 429, com a mensagem "Tente de novo em 15 minutos".</w:t>
      </w:r>
    </w:p>
    <w:p>
      <w:pPr>
        <w:numPr>
          <w:ilvl w:val="0"/>
          <w:numId w:val="1011"/>
        </w:numPr>
        <w:pStyle w:val="Compact"/>
      </w:pPr>
      <w:r>
        <w:t xml:space="preserve">Com a RLS ligada (migração 005), um usuário do banco que não é dono das tabelas leu 0 linhas; o dono (usado pela API) continuou lendo normalmente.</w:t>
      </w:r>
    </w:p>
    <w:p>
      <w:pPr>
        <w:numPr>
          <w:ilvl w:val="0"/>
          <w:numId w:val="1011"/>
        </w:numPr>
        <w:pStyle w:val="Compact"/>
      </w:pPr>
      <w:r>
        <w:t xml:space="preserve">O Leaflet é carregado com verificação de integridade (SRI): se o arquivo da CDN for alterado, o navegador não o executa.</w:t>
      </w:r>
    </w:p>
    <w:bookmarkEnd w:id="55"/>
    <w:bookmarkStart w:id="56" w:name="X801d5530b86e0d8685682ce732663a1e4c47d7b"/>
    <w:p>
      <w:pPr>
        <w:pStyle w:val="Heading2"/>
      </w:pPr>
      <w:r>
        <w:t xml:space="preserve">Teste de fumaça da interface (</w:t>
      </w:r>
      <w:r>
        <w:rPr>
          <w:rStyle w:val="VerbatimChar"/>
        </w:rPr>
        <w:t xml:space="preserve">site/tests/test_interface.py</w:t>
      </w:r>
      <w:r>
        <w:t xml:space="preserve">)</w:t>
      </w:r>
    </w:p>
    <w:p>
      <w:pPr>
        <w:pStyle w:val="FirstParagraph"/>
      </w:pPr>
      <w:r>
        <w:t xml:space="preserve">Primeira execução em 23/10/2026, depois da revisão visual (Fluent). Rodou no Chromium (Playwright), com a API local na porta 8001 e o site na porta 8080, sobre um banco recém-migrado.</w:t>
      </w:r>
      <w:r>
        <w:t xml:space="preserve"> </w:t>
      </w:r>
      <w:r>
        <w:rPr>
          <w:bCs/>
          <w:b/>
        </w:rPr>
        <w:t xml:space="preserve">32 verificações aprovadas, sem nenhum erro de JavaScript no console.</w:t>
      </w:r>
      <w:r>
        <w:t xml:space="preserve"> </w:t>
      </w:r>
      <w:r>
        <w:t xml:space="preserve">Repetido em 27/10/2026, depois da reorganização das pastas, e em 28/10/2026, já com o nome FluviSense: 32 verificações aprovadas em duas execuções seguidas no mesmo banco (o teste usa nomes únicos a cada execução). Na revisão de 28/10/2026, uma execução interrompida no meio deixou uma ocorrência aberta e a seguinte falhou, porque o teste esperava a lista de ocorrências vazia; o teste passou a encerrar só a ocorrência que ele mesmo criou e voltou a passar com essa ocorrência antiga ainda aberta. Depois da troca dos nomes para português (D22), o teste foi refeito com os novos identificadores da tela e rodou num banco novo criado pelas migrações 001 a 006: 32 verificações aprovadas em duas execuções seguidas, sem erro de JavaScript.</w:t>
      </w:r>
    </w:p>
    <w:p>
      <w:pPr>
        <w:pStyle w:val="BodyText"/>
      </w:pPr>
      <w:r>
        <w:t xml:space="preserve">O teste cobre: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Tema:</w:t>
      </w:r>
    </w:p>
    <w:p>
      <w:pPr>
        <w:numPr>
          <w:ilvl w:val="1"/>
          <w:numId w:val="1013"/>
        </w:numPr>
        <w:pStyle w:val="Compact"/>
      </w:pPr>
      <w:r>
        <w:t xml:space="preserve">a primeira visita segue o tema do sistema;</w:t>
      </w:r>
    </w:p>
    <w:p>
      <w:pPr>
        <w:numPr>
          <w:ilvl w:val="1"/>
          <w:numId w:val="1013"/>
        </w:numPr>
        <w:pStyle w:val="Compact"/>
      </w:pPr>
      <w:r>
        <w:t xml:space="preserve">a escolha manual continua depois de recarregar;</w:t>
      </w:r>
    </w:p>
    <w:p>
      <w:pPr>
        <w:numPr>
          <w:ilvl w:val="1"/>
          <w:numId w:val="1013"/>
        </w:numPr>
        <w:pStyle w:val="Compact"/>
      </w:pPr>
      <w:r>
        <w:t xml:space="preserve">o tema escuro é aplicado em todas as abas do painel, no diálogo e no mapa.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Login:</w:t>
      </w:r>
    </w:p>
    <w:p>
      <w:pPr>
        <w:numPr>
          <w:ilvl w:val="1"/>
          <w:numId w:val="1014"/>
        </w:numPr>
        <w:pStyle w:val="Compact"/>
      </w:pPr>
      <w:r>
        <w:t xml:space="preserve">erro em cada campo vazio, com foco no primeiro;</w:t>
      </w:r>
    </w:p>
    <w:p>
      <w:pPr>
        <w:numPr>
          <w:ilvl w:val="1"/>
          <w:numId w:val="1014"/>
        </w:numPr>
        <w:pStyle w:val="Compact"/>
      </w:pPr>
      <w:r>
        <w:t xml:space="preserve">senha errada mostra mensagem dentro do formulário.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Diálogos:</w:t>
      </w:r>
    </w:p>
    <w:p>
      <w:pPr>
        <w:numPr>
          <w:ilvl w:val="1"/>
          <w:numId w:val="1015"/>
        </w:numPr>
        <w:pStyle w:val="Compact"/>
      </w:pPr>
      <w:r>
        <w:t xml:space="preserve">clicar fora de um formulário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fecha o diálogo nem apaga o que foi digitado;</w:t>
      </w:r>
    </w:p>
    <w:p>
      <w:pPr>
        <w:numPr>
          <w:ilvl w:val="1"/>
          <w:numId w:val="1015"/>
        </w:numPr>
        <w:pStyle w:val="Compact"/>
      </w:pPr>
      <w:r>
        <w:t xml:space="preserve">Esc pede confirmação antes de descartar;</w:t>
      </w:r>
    </w:p>
    <w:p>
      <w:pPr>
        <w:numPr>
          <w:ilvl w:val="1"/>
          <w:numId w:val="1015"/>
        </w:numPr>
        <w:pStyle w:val="Compact"/>
      </w:pPr>
      <w:r>
        <w:t xml:space="preserve">o foco do teclado fica preso dentro do diálogo;</w:t>
      </w:r>
    </w:p>
    <w:p>
      <w:pPr>
        <w:numPr>
          <w:ilvl w:val="1"/>
          <w:numId w:val="1015"/>
        </w:numPr>
        <w:pStyle w:val="Compact"/>
      </w:pPr>
      <w:r>
        <w:t xml:space="preserve">o botão Cancelar fecha.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Exclusão:</w:t>
      </w:r>
    </w:p>
    <w:p>
      <w:pPr>
        <w:numPr>
          <w:ilvl w:val="1"/>
          <w:numId w:val="1016"/>
        </w:numPr>
        <w:pStyle w:val="Compact"/>
      </w:pPr>
      <w:r>
        <w:t xml:space="preserve">cancelar mantém o diálogo aberto;</w:t>
      </w:r>
    </w:p>
    <w:p>
      <w:pPr>
        <w:numPr>
          <w:ilvl w:val="1"/>
          <w:numId w:val="1016"/>
        </w:numPr>
        <w:pStyle w:val="Compact"/>
      </w:pPr>
      <w:r>
        <w:t xml:space="preserve">rio vazio é excluído e some da lista;</w:t>
      </w:r>
    </w:p>
    <w:p>
      <w:pPr>
        <w:numPr>
          <w:ilvl w:val="1"/>
          <w:numId w:val="1016"/>
        </w:numPr>
        <w:pStyle w:val="Compact"/>
      </w:pPr>
      <w:r>
        <w:t xml:space="preserve">rio com ponto ligado e ponto com medição real são recusados com mensagem explicativa;</w:t>
      </w:r>
    </w:p>
    <w:p>
      <w:pPr>
        <w:numPr>
          <w:ilvl w:val="1"/>
          <w:numId w:val="1016"/>
        </w:numPr>
        <w:pStyle w:val="Compact"/>
      </w:pPr>
      <w:r>
        <w:t xml:space="preserve">ponto sem histórico real é excluído.</w:t>
      </w:r>
      <w:r>
        <w:t xml:space="preserve"> </w:t>
      </w:r>
      <w:r>
        <w:t xml:space="preserve">Depois do teste, conferi no banco que as exclusões foram gravadas, que os dados recusados continuaram lá e que a auditoria registrou</w:t>
      </w:r>
      <w:r>
        <w:t xml:space="preserve"> </w:t>
      </w:r>
      <w:r>
        <w:rPr>
          <w:rStyle w:val="VerbatimChar"/>
        </w:rPr>
        <w:t xml:space="preserve">RIO_EXCLUIDO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PONTO_EXCLUIDO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Validação nos campos:</w:t>
      </w:r>
      <w:r>
        <w:t xml:space="preserve"> </w:t>
      </w:r>
      <w:r>
        <w:t xml:space="preserve">critério incompleto e simulação impossível são barrados antes de chegar à API.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Fluxos principais:</w:t>
      </w:r>
    </w:p>
    <w:p>
      <w:pPr>
        <w:numPr>
          <w:ilvl w:val="1"/>
          <w:numId w:val="1017"/>
        </w:numPr>
        <w:pStyle w:val="Compact"/>
      </w:pPr>
      <w:r>
        <w:t xml:space="preserve">cadastro de rios e pontos;</w:t>
      </w:r>
    </w:p>
    <w:p>
      <w:pPr>
        <w:numPr>
          <w:ilvl w:val="1"/>
          <w:numId w:val="1017"/>
        </w:numPr>
        <w:pStyle w:val="Compact"/>
      </w:pPr>
      <w:r>
        <w:t xml:space="preserve">edição de ponto;</w:t>
      </w:r>
    </w:p>
    <w:p>
      <w:pPr>
        <w:numPr>
          <w:ilvl w:val="1"/>
          <w:numId w:val="1017"/>
        </w:numPr>
        <w:pStyle w:val="Compact"/>
      </w:pPr>
      <w:r>
        <w:t xml:space="preserve">confirmação de desativação dentro do próprio diálogo (cancelar mantém o formulário);</w:t>
      </w:r>
    </w:p>
    <w:p>
      <w:pPr>
        <w:numPr>
          <w:ilvl w:val="1"/>
          <w:numId w:val="1017"/>
        </w:numPr>
        <w:pStyle w:val="Compact"/>
      </w:pPr>
      <w:r>
        <w:t xml:space="preserve">medições manuais com leitura suspeita;</w:t>
      </w:r>
    </w:p>
    <w:p>
      <w:pPr>
        <w:numPr>
          <w:ilvl w:val="1"/>
          <w:numId w:val="1017"/>
        </w:numPr>
        <w:pStyle w:val="Compact"/>
      </w:pPr>
      <w:r>
        <w:t xml:space="preserve">gráfico;</w:t>
      </w:r>
    </w:p>
    <w:p>
      <w:pPr>
        <w:numPr>
          <w:ilvl w:val="1"/>
          <w:numId w:val="1017"/>
        </w:numPr>
        <w:pStyle w:val="Compact"/>
      </w:pPr>
      <w:r>
        <w:t xml:space="preserve">simulação;</w:t>
      </w:r>
    </w:p>
    <w:p>
      <w:pPr>
        <w:numPr>
          <w:ilvl w:val="1"/>
          <w:numId w:val="1017"/>
        </w:numPr>
        <w:pStyle w:val="Compact"/>
      </w:pPr>
      <w:r>
        <w:t xml:space="preserve">painel real × simulado;</w:t>
      </w:r>
    </w:p>
    <w:p>
      <w:pPr>
        <w:numPr>
          <w:ilvl w:val="1"/>
          <w:numId w:val="1017"/>
        </w:numPr>
        <w:pStyle w:val="Compact"/>
      </w:pPr>
      <w:r>
        <w:t xml:space="preserve">ocorrência aberta e encerrada com confirmação;</w:t>
      </w:r>
    </w:p>
    <w:p>
      <w:pPr>
        <w:numPr>
          <w:ilvl w:val="1"/>
          <w:numId w:val="1017"/>
        </w:numPr>
        <w:pStyle w:val="Compact"/>
      </w:pPr>
      <w:r>
        <w:t xml:space="preserve">auditoria;</w:t>
      </w:r>
    </w:p>
    <w:p>
      <w:pPr>
        <w:numPr>
          <w:ilvl w:val="1"/>
          <w:numId w:val="1017"/>
        </w:numPr>
        <w:pStyle w:val="Compact"/>
      </w:pPr>
      <w:r>
        <w:t xml:space="preserve">mapa só com dados reais e filtro por rio;</w:t>
      </w:r>
    </w:p>
    <w:p>
      <w:pPr>
        <w:numPr>
          <w:ilvl w:val="1"/>
          <w:numId w:val="1017"/>
        </w:numPr>
        <w:pStyle w:val="Compact"/>
      </w:pPr>
      <w:r>
        <w:t xml:space="preserve">saída da sessão.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Celular (390 px), nos dois temas:</w:t>
      </w:r>
    </w:p>
    <w:p>
      <w:pPr>
        <w:numPr>
          <w:ilvl w:val="1"/>
          <w:numId w:val="1018"/>
        </w:numPr>
        <w:pStyle w:val="Compact"/>
      </w:pPr>
      <w:r>
        <w:t xml:space="preserve">sem rolagem horizontal em início, login, mapa, medições e diálogo;</w:t>
      </w:r>
    </w:p>
    <w:p>
      <w:pPr>
        <w:numPr>
          <w:ilvl w:val="1"/>
          <w:numId w:val="1018"/>
        </w:numPr>
        <w:pStyle w:val="Compact"/>
      </w:pPr>
      <w:r>
        <w:t xml:space="preserve">navegação em gaveta;</w:t>
      </w:r>
    </w:p>
    <w:p>
      <w:pPr>
        <w:numPr>
          <w:ilvl w:val="1"/>
          <w:numId w:val="1018"/>
        </w:numPr>
        <w:pStyle w:val="Compact"/>
      </w:pPr>
      <w:r>
        <w:t xml:space="preserve">diálogo como painel inferior.</w:t>
      </w:r>
    </w:p>
    <w:bookmarkEnd w:id="56"/>
    <w:bookmarkStart w:id="57" w:name="Xcd6b206a81104b7eaef05882bf46ac169816c01"/>
    <w:p>
      <w:pPr>
        <w:pStyle w:val="Heading2"/>
      </w:pPr>
      <w:r>
        <w:t xml:space="preserve">Acessibilidade automática (axe-core 4.10, regras WCAG 2.0/2.1 A e AA)</w:t>
      </w:r>
    </w:p>
    <w:p>
      <w:pPr>
        <w:pStyle w:val="FirstParagraph"/>
      </w:pPr>
      <w:r>
        <w:t xml:space="preserve">Analisadas nos temas claro e escuro: início, mapa, as 6 abas do painel e o diálogo de ponto.</w:t>
      </w:r>
      <w:r>
        <w:t xml:space="preserve"> </w:t>
      </w:r>
      <w:r>
        <w:rPr>
          <w:bCs/>
          <w:b/>
        </w:rPr>
        <w:t xml:space="preserve">Nenhuma violação encontrada</w:t>
      </w:r>
      <w:r>
        <w:t xml:space="preserve">, incluindo contraste de cores. Repetida em 28/10/2026, depois da troca dos nomes para português, a análise apontou uma falha no mapa: quando a biblioteca do mapa não carrega, os botões da lista de pontos ficam desativados e a lista, que tem rolagem, não podia ser alcançada pelo teclado (regra</w:t>
      </w:r>
      <w:r>
        <w:t xml:space="preserve"> </w:t>
      </w:r>
      <w:r>
        <w:rPr>
          <w:rStyle w:val="VerbatimChar"/>
        </w:rPr>
        <w:t xml:space="preserve">scrollable-region-focusable</w:t>
      </w:r>
      <w:r>
        <w:t xml:space="preserve">). A lista passou a receber foco (</w:t>
      </w:r>
      <w:r>
        <w:rPr>
          <w:rStyle w:val="VerbatimChar"/>
        </w:rPr>
        <w:t xml:space="preserve">tabindex="0"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#mapa-pontos</w:t>
      </w:r>
      <w:r>
        <w:t xml:space="preserve">, no</w:t>
      </w:r>
      <w:r>
        <w:t xml:space="preserve"> </w:t>
      </w:r>
      <w:r>
        <w:rPr>
          <w:rStyle w:val="VerbatimChar"/>
        </w:rPr>
        <w:t xml:space="preserve">site/index.html</w:t>
      </w:r>
      <w:r>
        <w:t xml:space="preserve">) e a análise seguinte não encontrou nenhuma violação. A ferramenta automática não substitui o teste com leitor de tela, que não foi feito.</w:t>
      </w:r>
    </w:p>
    <w:p>
      <w:pPr>
        <w:pStyle w:val="BodyText"/>
      </w:pPr>
      <w:r>
        <w:rPr>
          <w:bCs/>
          <w:b/>
        </w:rPr>
        <w:t xml:space="preserve">Limitação do ambiente:</w:t>
      </w:r>
      <w:r>
        <w:t xml:space="preserve"> </w:t>
      </w:r>
      <w:r>
        <w:t xml:space="preserve">o acesso externo bloqueou Leaflet, OpenStreetMap e VLibras. Por isso, no teste de fumaça, o mapa apareceu com o aviso "Mapa indisponível", e o teste conferiu a lista de pontos. Para as capturas de tela (seção abaixo), o Leaflet foi carregado a partir de uma cópia local da mesma versão (1.9.4): os marcadores apareceram nas posições e cores certas. O fundo do OpenStreetMap e o mapa escurecido no tema escuro</w:t>
      </w:r>
      <w:r>
        <w:t xml:space="preserve"> </w:t>
      </w:r>
      <w:r>
        <w:rPr>
          <w:bCs/>
          <w:b/>
        </w:rPr>
        <w:t xml:space="preserve">não foram verificados</w:t>
      </w:r>
      <w:r>
        <w:t xml:space="preserve"> </w:t>
      </w:r>
      <w:r>
        <w:t xml:space="preserve">aqui e precisam ser conferidos num navegador comum.</w:t>
      </w:r>
    </w:p>
    <w:bookmarkEnd w:id="57"/>
    <w:bookmarkStart w:id="85" w:name="capturas-de-tela"/>
    <w:p>
      <w:pPr>
        <w:pStyle w:val="Heading2"/>
      </w:pPr>
      <w:r>
        <w:t xml:space="preserve">Capturas de tela</w:t>
      </w:r>
    </w:p>
    <w:p>
      <w:pPr>
        <w:pStyle w:val="FirstParagraph"/>
      </w:pPr>
      <w:r>
        <w:t xml:space="preserve">Feitas em 28/10/2026 no Chromium (1366 × 800 px, tema claro), com a API e o site rodando como descrito no README. Os dados são</w:t>
      </w:r>
      <w:r>
        <w:t xml:space="preserve"> </w:t>
      </w:r>
      <w:r>
        <w:rPr>
          <w:bCs/>
          <w:b/>
        </w:rPr>
        <w:t xml:space="preserve">de demonstração</w:t>
      </w:r>
      <w:r>
        <w:t xml:space="preserve">, cadastrados pela própria API só para mostrar a interface: três rios de Palhoça, cinco pontos com coordenadas aproximadas e leituras enviadas pela rota do sensor. Não são leituras reais desses rios. O fundo do mapa (OpenStreetMap) não carregou no ambiente da captura; os marcadores aparecem nas posições certas.</w:t>
      </w:r>
    </w:p>
    <w:p>
      <w:pPr>
        <w:pStyle w:val="CaptionedFigure"/>
      </w:pPr>
      <w:r>
        <w:drawing>
          <wp:inline>
            <wp:extent cx="5334000" cy="3123865"/>
            <wp:effectExtent b="0" l="0" r="0" t="0"/>
            <wp:docPr descr="Página inicial" title="" id="59" name="Picture"/>
            <a:graphic>
              <a:graphicData uri="http://schemas.openxmlformats.org/drawingml/2006/picture">
                <pic:pic>
                  <pic:nvPicPr>
                    <pic:cNvPr descr="telas/01-inicio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3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inicial</w:t>
      </w:r>
    </w:p>
    <w:p>
      <w:pPr>
        <w:pStyle w:val="CaptionedFigure"/>
      </w:pPr>
      <w:r>
        <w:drawing>
          <wp:inline>
            <wp:extent cx="5334000" cy="3123865"/>
            <wp:effectExtent b="0" l="0" r="0" t="0"/>
            <wp:docPr descr="Mapa público dos pontos" title="" id="62" name="Picture"/>
            <a:graphic>
              <a:graphicData uri="http://schemas.openxmlformats.org/drawingml/2006/picture">
                <pic:pic>
                  <pic:nvPicPr>
                    <pic:cNvPr descr="telas/02-mapa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3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Mapa público dos pontos</w:t>
      </w:r>
    </w:p>
    <w:p>
      <w:pPr>
        <w:pStyle w:val="CaptionedFigure"/>
      </w:pPr>
      <w:r>
        <w:drawing>
          <wp:inline>
            <wp:extent cx="5334000" cy="3123865"/>
            <wp:effectExtent b="0" l="0" r="0" t="0"/>
            <wp:docPr descr="Painel do operador: situação dos pontos" title="" id="65" name="Picture"/>
            <a:graphic>
              <a:graphicData uri="http://schemas.openxmlformats.org/drawingml/2006/picture">
                <pic:pic>
                  <pic:nvPicPr>
                    <pic:cNvPr descr="telas/03-painel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3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Painel do operador: situação dos pontos</w:t>
      </w:r>
    </w:p>
    <w:p>
      <w:pPr>
        <w:pStyle w:val="CaptionedFigure"/>
      </w:pPr>
      <w:r>
        <w:drawing>
          <wp:inline>
            <wp:extent cx="5334000" cy="3123865"/>
            <wp:effectExtent b="0" l="0" r="0" t="0"/>
            <wp:docPr descr="Rios e pontos" title="" id="68" name="Picture"/>
            <a:graphic>
              <a:graphicData uri="http://schemas.openxmlformats.org/drawingml/2006/picture">
                <pic:pic>
                  <pic:nvPicPr>
                    <pic:cNvPr descr="telas/04-rios-e-pontos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3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Rios e pontos</w:t>
      </w:r>
    </w:p>
    <w:p>
      <w:pPr>
        <w:pStyle w:val="CaptionedFigure"/>
      </w:pPr>
      <w:r>
        <w:drawing>
          <wp:inline>
            <wp:extent cx="5334000" cy="3123865"/>
            <wp:effectExtent b="0" l="0" r="0" t="0"/>
            <wp:docPr descr="Formulário de novo ponto" title="" id="71" name="Picture"/>
            <a:graphic>
              <a:graphicData uri="http://schemas.openxmlformats.org/drawingml/2006/picture">
                <pic:pic>
                  <pic:nvPicPr>
                    <pic:cNvPr descr="telas/05-novo-ponto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3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Formulário de novo ponto</w:t>
      </w:r>
    </w:p>
    <w:p>
      <w:pPr>
        <w:pStyle w:val="CaptionedFigure"/>
      </w:pPr>
      <w:r>
        <w:drawing>
          <wp:inline>
            <wp:extent cx="5334000" cy="3904831"/>
            <wp:effectExtent b="0" l="0" r="0" t="0"/>
            <wp:docPr descr="Histórico de medições, com uma leitura inválida" title="" id="74" name="Picture"/>
            <a:graphic>
              <a:graphicData uri="http://schemas.openxmlformats.org/drawingml/2006/picture">
                <pic:pic>
                  <pic:nvPicPr>
                    <pic:cNvPr descr="telas/06-historico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4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Histórico de medições, com uma leitura inválida</w:t>
      </w:r>
    </w:p>
    <w:p>
      <w:pPr>
        <w:pStyle w:val="CaptionedFigure"/>
      </w:pPr>
      <w:r>
        <w:drawing>
          <wp:inline>
            <wp:extent cx="5334000" cy="3123865"/>
            <wp:effectExtent b="0" l="0" r="0" t="0"/>
            <wp:docPr descr="Simulação" title="" id="77" name="Picture"/>
            <a:graphic>
              <a:graphicData uri="http://schemas.openxmlformats.org/drawingml/2006/picture">
                <pic:pic>
                  <pic:nvPicPr>
                    <pic:cNvPr descr="telas/07-simulacao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3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Simulação</w:t>
      </w:r>
    </w:p>
    <w:p>
      <w:pPr>
        <w:pStyle w:val="CaptionedFigure"/>
      </w:pPr>
      <w:r>
        <w:drawing>
          <wp:inline>
            <wp:extent cx="5334000" cy="3123865"/>
            <wp:effectExtent b="0" l="0" r="0" t="0"/>
            <wp:docPr descr="Ocorrências manuais" title="" id="80" name="Picture"/>
            <a:graphic>
              <a:graphicData uri="http://schemas.openxmlformats.org/drawingml/2006/picture">
                <pic:pic>
                  <pic:nvPicPr>
                    <pic:cNvPr descr="telas/08-ocorrencias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3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Ocorrências manuais</w:t>
      </w:r>
    </w:p>
    <w:p>
      <w:pPr>
        <w:pStyle w:val="CaptionedFigure"/>
      </w:pPr>
      <w:r>
        <w:drawing>
          <wp:inline>
            <wp:extent cx="5334000" cy="3123865"/>
            <wp:effectExtent b="0" l="0" r="0" t="0"/>
            <wp:docPr descr="Auditoria" title="" id="83" name="Picture"/>
            <a:graphic>
              <a:graphicData uri="http://schemas.openxmlformats.org/drawingml/2006/picture">
                <pic:pic>
                  <pic:nvPicPr>
                    <pic:cNvPr descr="telas/09-auditoria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3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Auditoria</w:t>
      </w:r>
    </w:p>
    <w:bookmarkEnd w:id="85"/>
    <w:bookmarkStart w:id="86" w:name="o-que-ainda-não-foi-validado"/>
    <w:p>
      <w:pPr>
        <w:pStyle w:val="Heading2"/>
      </w:pPr>
      <w:r>
        <w:t xml:space="preserve">O que ainda não foi validado</w:t>
      </w:r>
    </w:p>
    <w:p>
      <w:pPr>
        <w:numPr>
          <w:ilvl w:val="0"/>
          <w:numId w:val="1019"/>
        </w:numPr>
        <w:pStyle w:val="Compact"/>
      </w:pPr>
      <w:r>
        <w:t xml:space="preserve">Envio por um ESP32 real: a rota foi testada só com chamadas da API.</w:t>
      </w:r>
    </w:p>
    <w:p>
      <w:pPr>
        <w:numPr>
          <w:ilvl w:val="0"/>
          <w:numId w:val="1019"/>
        </w:numPr>
        <w:pStyle w:val="Compact"/>
      </w:pPr>
      <w:r>
        <w:t xml:space="preserve">Desempenho com muitos pontos e muitas medições.</w:t>
      </w:r>
    </w:p>
    <w:p>
      <w:pPr>
        <w:numPr>
          <w:ilvl w:val="0"/>
          <w:numId w:val="1019"/>
        </w:numPr>
        <w:pStyle w:val="Compact"/>
      </w:pPr>
      <w:r>
        <w:t xml:space="preserve">Critérios de classificação com referência hidrológica: os pontos usam critérios provisórios definidos pelo operador.</w:t>
      </w:r>
    </w:p>
    <w:p>
      <w:pPr>
        <w:numPr>
          <w:ilvl w:val="0"/>
          <w:numId w:val="1019"/>
        </w:numPr>
        <w:pStyle w:val="Compact"/>
      </w:pPr>
      <w:r>
        <w:t xml:space="preserve">A RLS no banco real do Supabase: foi verificada só no PostgreSQL local.</w:t>
      </w:r>
    </w:p>
    <w:p>
      <w:pPr>
        <w:numPr>
          <w:ilvl w:val="0"/>
          <w:numId w:val="1019"/>
        </w:numPr>
        <w:pStyle w:val="Compact"/>
      </w:pPr>
      <w:r>
        <w:t xml:space="preserve">Publicação no Render com as variáveis de produção.</w:t>
      </w:r>
    </w:p>
    <w:bookmarkEnd w:id="86"/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pt-BR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pt-BR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Primeiro parágrafo"/>
    <w:basedOn w:val="BodyText"/>
    <w:next w:val="BodyText"/>
    <w:qFormat/>
  </w:style>
  <w:style w:customStyle="1" w:styleId="Compact" w:type="paragraph">
    <w:name w:val="Compacto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or"/>
    <w:next w:val="BodyText"/>
    <w:qFormat/>
    <w:pPr>
      <w:keepNext/>
      <w:keepLines/>
      <w:jc w:val="center"/>
    </w:pPr>
  </w:style>
  <w:style w:styleId="Date" w:type="paragraph">
    <w:name w:val="Data"/>
    <w:next w:val="BodyText"/>
    <w:qFormat/>
    <w:pPr>
      <w:keepNext/>
      <w:keepLines/>
      <w:jc w:val="center"/>
    </w:pPr>
  </w:style>
  <w:style w:customStyle="1" w:styleId="AbstractTitle" w:type="paragraph">
    <w:name w:val="Título do resumo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Resumo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Termo definido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ção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Legenda da tabela"/>
    <w:basedOn w:val="Caption"/>
    <w:pPr>
      <w:keepNext/>
    </w:pPr>
  </w:style>
  <w:style w:customStyle="1" w:styleId="ImageCaption" w:type="paragraph">
    <w:name w:val="Legenda da imagem"/>
    <w:basedOn w:val="Caption"/>
  </w:style>
  <w:style w:customStyle="1" w:styleId="Figure" w:type="paragraph">
    <w:name w:val="Figura"/>
    <w:basedOn w:val="Normal"/>
  </w:style>
  <w:style w:customStyle="1" w:styleId="CaptionedFigure" w:type="paragraph">
    <w:name w:val="Figura com legenda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Código no texto"/>
    <w:basedOn w:val="BodyTextChar"/>
    <w:rPr>
      <w:rFonts w:ascii="Consolas" w:hAnsi="Consolas"/>
      <w:sz w:val="22"/>
    </w:rPr>
  </w:style>
  <w:style w:customStyle="1" w:styleId="SectionNumber" w:type="character">
    <w:name w:val="Número da seção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Código-font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1" Target="media/rId41.png" /><Relationship Type="http://schemas.openxmlformats.org/officeDocument/2006/relationships/image" Id="rId37" Target="media/rId37.png" /><Relationship Type="http://schemas.openxmlformats.org/officeDocument/2006/relationships/image" Id="rId26" Target="media/rId26.png" /><Relationship Type="http://schemas.openxmlformats.org/officeDocument/2006/relationships/image" Id="rId45" Target="media/rId45.png" /><Relationship Type="http://schemas.openxmlformats.org/officeDocument/2006/relationships/image" Id="rId31" Target="media/rId31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2" Target="media/rId8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FluviSense: Documento de Projeto</dc:title>
  <dc:creator>Guilherme Bettoni Matiuzzi Pavão</dc:creator>
  <dc:language>pt-BR</dc:language>
  <cp:keywords/>
  <dcterms:created xsi:type="dcterms:W3CDTF">2026-10-28T20:38:45Z</dcterms:created>
  <dcterms:modified xsi:type="dcterms:W3CDTF">2026-10-28T20:38:45Z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Outubro de 2026</vt:lpwstr>
  </property>
  <property fmtid="{D5CDD505-2E9C-101B-9397-08002B2CF9AE}" pid="3" name="subtitle">
    <vt:lpwstr>Projeto Integrador · Análise e Desenvolvimento de Sistemas · FMP</vt:lpwstr>
  </property>
  <property fmtid="{D5CDD505-2E9C-101B-9397-08002B2CF9AE}" pid="4" name="toc-title">
    <vt:lpwstr>Sumário</vt:lpwstr>
  </property>
</Properties>
</file>