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2C01A" w14:textId="25C151EA" w:rsidR="00731364" w:rsidRDefault="00FF0B68" w:rsidP="00FF0B68">
      <w:pPr>
        <w:pStyle w:val="Ttulo1"/>
      </w:pPr>
      <w:r>
        <w:t>anafilaxia</w:t>
      </w:r>
    </w:p>
    <w:p w14:paraId="04703562" w14:textId="449152FF" w:rsidR="00FF0B68" w:rsidRDefault="00FF0B68" w:rsidP="00FF0B68">
      <w:pPr>
        <w:pStyle w:val="Ttulo2"/>
      </w:pPr>
      <w:r>
        <w:t>definição</w:t>
      </w:r>
    </w:p>
    <w:p w14:paraId="64E0E481" w14:textId="77777777" w:rsidR="00FF0B68" w:rsidRDefault="00FF0B68" w:rsidP="00FF0B68">
      <w:pPr>
        <w:rPr>
          <w:color w:val="1CADE4"/>
        </w:rPr>
      </w:pPr>
      <w:r>
        <w:t xml:space="preserve">A anafilaxia é uma reação potencialmente fatal de </w:t>
      </w:r>
      <w:r>
        <w:rPr>
          <w:b/>
          <w:bCs/>
        </w:rPr>
        <w:t>hipersensibilidade sistêmica grave</w:t>
      </w:r>
      <w:r>
        <w:t xml:space="preserve">, que pode cursar com hipotensão grave ou comprometimento das vias aéreas. É uma reação em cascata causada pela liberação de mediadores de mastócitos e basófilos de uma forma </w:t>
      </w:r>
      <w:r>
        <w:rPr>
          <w:b/>
          <w:bCs/>
        </w:rPr>
        <w:t>dependente de IgE</w:t>
      </w:r>
      <w:r>
        <w:t>.</w:t>
      </w:r>
    </w:p>
    <w:p w14:paraId="1629DBE7" w14:textId="7445A677" w:rsidR="00FF0B68" w:rsidRDefault="00FF0B68" w:rsidP="00FF0B68">
      <w:pPr>
        <w:jc w:val="center"/>
      </w:pPr>
      <w:r>
        <w:rPr>
          <w:noProof/>
        </w:rPr>
        <w:drawing>
          <wp:inline distT="0" distB="0" distL="0" distR="0" wp14:anchorId="0BC14000" wp14:editId="1BADC405">
            <wp:extent cx="3196425" cy="2424104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72" cy="242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112D" w14:textId="72050001" w:rsidR="00FF0B68" w:rsidRDefault="00FF0B68" w:rsidP="00FF0B68">
      <w:pPr>
        <w:rPr>
          <w:rFonts w:eastAsia="Times New Roman"/>
          <w:lang w:eastAsia="pt-BR"/>
        </w:rPr>
      </w:pPr>
      <w:r w:rsidRPr="00FF0B68">
        <w:rPr>
          <w:rFonts w:eastAsia="Times New Roman"/>
          <w:b/>
          <w:bCs/>
          <w:lang w:eastAsia="pt-BR"/>
        </w:rPr>
        <w:t xml:space="preserve">O </w:t>
      </w:r>
      <w:r w:rsidRPr="00FF0B68">
        <w:rPr>
          <w:rFonts w:eastAsia="Times New Roman"/>
          <w:b/>
          <w:bCs/>
          <w:u w:val="single"/>
          <w:lang w:eastAsia="pt-BR"/>
        </w:rPr>
        <w:t>choque anafilático</w:t>
      </w:r>
      <w:r w:rsidRPr="00FF0B68">
        <w:rPr>
          <w:rFonts w:eastAsia="Times New Roman"/>
          <w:b/>
          <w:bCs/>
          <w:lang w:eastAsia="pt-BR"/>
        </w:rPr>
        <w:t xml:space="preserve">, </w:t>
      </w:r>
      <w:r w:rsidRPr="00FF0B68">
        <w:rPr>
          <w:rFonts w:eastAsia="Times New Roman"/>
          <w:lang w:eastAsia="pt-BR"/>
        </w:rPr>
        <w:t>por sua vez, é definido como reação anafilática em que ocorre uma insuficiente entrega de oxigênio para os tecidos, resultando em colapso cardiovascular e fluxo sanguíneo insuficiente.</w:t>
      </w:r>
    </w:p>
    <w:p w14:paraId="6598BCCB" w14:textId="158C78FE" w:rsidR="00FF0B68" w:rsidRPr="00FF0B68" w:rsidRDefault="00FF0B68" w:rsidP="00FF0B68">
      <w:pPr>
        <w:rPr>
          <w:rFonts w:ascii="Times New Roman" w:eastAsia="Times New Roman" w:hAnsi="Times New Roman" w:cs="Times New Roman"/>
          <w:szCs w:val="24"/>
          <w:lang w:eastAsia="pt-BR"/>
        </w:rPr>
      </w:pPr>
      <w:r w:rsidRPr="00FF0B68">
        <w:rPr>
          <w:rFonts w:eastAsia="Times New Roman"/>
          <w:lang w:eastAsia="pt-BR"/>
        </w:rPr>
        <w:t xml:space="preserve">Já a </w:t>
      </w:r>
      <w:r w:rsidRPr="00FF0B68">
        <w:rPr>
          <w:rFonts w:eastAsia="Times New Roman"/>
          <w:b/>
          <w:bCs/>
          <w:lang w:eastAsia="pt-BR"/>
        </w:rPr>
        <w:t xml:space="preserve">reação </w:t>
      </w:r>
      <w:proofErr w:type="spellStart"/>
      <w:r w:rsidRPr="00FF0B68">
        <w:rPr>
          <w:rFonts w:eastAsia="Times New Roman"/>
          <w:b/>
          <w:bCs/>
          <w:lang w:eastAsia="pt-BR"/>
        </w:rPr>
        <w:t>anafilactoide</w:t>
      </w:r>
      <w:proofErr w:type="spellEnd"/>
      <w:r w:rsidRPr="00FF0B68">
        <w:rPr>
          <w:rFonts w:eastAsia="Times New Roman"/>
          <w:b/>
          <w:bCs/>
          <w:lang w:eastAsia="pt-BR"/>
        </w:rPr>
        <w:t xml:space="preserve"> </w:t>
      </w:r>
      <w:r w:rsidRPr="00FF0B68">
        <w:rPr>
          <w:rFonts w:eastAsia="Times New Roman"/>
          <w:lang w:eastAsia="pt-BR"/>
        </w:rPr>
        <w:t>descreve as respostas que são clinicamente indistinguíveis da anafilaxia, que não são IgE mediadas e que não necessitam de uma exposição sensibilizadora. </w:t>
      </w:r>
      <w:r>
        <w:rPr>
          <w:rFonts w:eastAsia="Times New Roman"/>
          <w:lang w:eastAsia="pt-BR"/>
        </w:rPr>
        <w:t xml:space="preserve">Sinais e sintomas parecidos com </w:t>
      </w:r>
      <w:r w:rsidR="005976E1">
        <w:rPr>
          <w:rFonts w:eastAsia="Times New Roman"/>
          <w:lang w:eastAsia="pt-BR"/>
        </w:rPr>
        <w:t>anafilaxia,</w:t>
      </w:r>
      <w:r>
        <w:rPr>
          <w:rFonts w:eastAsia="Times New Roman"/>
          <w:lang w:eastAsia="pt-BR"/>
        </w:rPr>
        <w:t xml:space="preserve"> mas que são causados por fatores distintos.</w:t>
      </w:r>
    </w:p>
    <w:p w14:paraId="2F101B58" w14:textId="5D447227" w:rsidR="00FF0B68" w:rsidRDefault="00FF0B68" w:rsidP="00FF0B68">
      <w:pPr>
        <w:rPr>
          <w:rFonts w:eastAsia="Times New Roman"/>
          <w:b/>
          <w:bCs/>
          <w:lang w:eastAsia="pt-BR"/>
        </w:rPr>
      </w:pPr>
      <w:proofErr w:type="spellStart"/>
      <w:r w:rsidRPr="00FF0B68">
        <w:rPr>
          <w:rFonts w:eastAsia="Times New Roman"/>
          <w:b/>
          <w:bCs/>
          <w:lang w:eastAsia="pt-BR"/>
        </w:rPr>
        <w:t>Ex</w:t>
      </w:r>
      <w:proofErr w:type="spellEnd"/>
      <w:r w:rsidRPr="00FF0B68">
        <w:rPr>
          <w:rFonts w:eastAsia="Times New Roman"/>
          <w:b/>
          <w:bCs/>
          <w:lang w:eastAsia="pt-BR"/>
        </w:rPr>
        <w:t>: causado por atividade física, álcool e anafilaxia associada ao uso de opioides, entre outras causas.</w:t>
      </w:r>
    </w:p>
    <w:p w14:paraId="25DC1F28" w14:textId="77777777" w:rsidR="00FF0B68" w:rsidRDefault="00FF0B68" w:rsidP="00FF0B68"/>
    <w:p w14:paraId="1C112793" w14:textId="27D131F2" w:rsidR="00FF0B68" w:rsidRDefault="00FF0B68" w:rsidP="00FF0B68">
      <w:pPr>
        <w:pStyle w:val="Ttulo2"/>
      </w:pPr>
      <w:r>
        <w:t>fisiopatologia</w:t>
      </w:r>
    </w:p>
    <w:p w14:paraId="1F75CA63" w14:textId="050E7970" w:rsidR="00FF0B68" w:rsidRDefault="00FF0B68" w:rsidP="00FF0B68">
      <w:pPr>
        <w:rPr>
          <w:b/>
          <w:bCs/>
        </w:rPr>
      </w:pPr>
      <w:r>
        <w:t xml:space="preserve">O mecanismo mediado por IgE é também definido como mecanismo de </w:t>
      </w:r>
      <w:r>
        <w:rPr>
          <w:b/>
          <w:bCs/>
        </w:rPr>
        <w:t>hipersensibilidade tipo I</w:t>
      </w:r>
      <w:r>
        <w:t xml:space="preserve">; nesse caso, o alérgeno se liga ao segmento </w:t>
      </w:r>
      <w:proofErr w:type="spellStart"/>
      <w:r>
        <w:t>Fab</w:t>
      </w:r>
      <w:proofErr w:type="spellEnd"/>
      <w:r>
        <w:t xml:space="preserve"> da </w:t>
      </w:r>
      <w:r>
        <w:rPr>
          <w:b/>
          <w:bCs/>
        </w:rPr>
        <w:t xml:space="preserve">IgE </w:t>
      </w:r>
      <w:r>
        <w:t xml:space="preserve">e este ativa e libera </w:t>
      </w:r>
      <w:proofErr w:type="spellStart"/>
      <w:r>
        <w:t>proteinoquinases</w:t>
      </w:r>
      <w:proofErr w:type="spellEnd"/>
      <w:r>
        <w:t xml:space="preserve"> presentes em </w:t>
      </w:r>
      <w:r>
        <w:rPr>
          <w:b/>
          <w:bCs/>
        </w:rPr>
        <w:t xml:space="preserve">basófilos e mastócitos </w:t>
      </w:r>
      <w:r>
        <w:t xml:space="preserve">e, por consequência, leva à liberação de mediadores </w:t>
      </w:r>
      <w:r w:rsidR="002D265B">
        <w:t>pré-formados</w:t>
      </w:r>
      <w:r>
        <w:t xml:space="preserve"> estocados nos grânulos citoplasmáticos daquelas células, que incluem </w:t>
      </w:r>
      <w:r>
        <w:rPr>
          <w:b/>
          <w:bCs/>
        </w:rPr>
        <w:t>histamina e triptase</w:t>
      </w:r>
      <w:r>
        <w:t xml:space="preserve">, entre outros mediadores. </w:t>
      </w:r>
      <w:r>
        <w:rPr>
          <w:b/>
          <w:bCs/>
        </w:rPr>
        <w:t>A histamina liga-se aos receptores H1 e H2</w:t>
      </w:r>
      <w:r>
        <w:t xml:space="preserve">. Os receptores </w:t>
      </w:r>
      <w:r>
        <w:rPr>
          <w:b/>
          <w:bCs/>
        </w:rPr>
        <w:t xml:space="preserve">H2 têm efeitos vasodilatadores e de aumento da permeabilidade capilar. Os receptores H1, por sua vez, têm efeitos vasoconstritores e </w:t>
      </w:r>
      <w:proofErr w:type="spellStart"/>
      <w:r>
        <w:rPr>
          <w:b/>
          <w:bCs/>
        </w:rPr>
        <w:t>broncoconstritores</w:t>
      </w:r>
      <w:proofErr w:type="spellEnd"/>
      <w:r>
        <w:rPr>
          <w:b/>
          <w:bCs/>
        </w:rPr>
        <w:t>.</w:t>
      </w:r>
    </w:p>
    <w:p w14:paraId="17557643" w14:textId="04E18656" w:rsidR="002D265B" w:rsidRDefault="002D265B" w:rsidP="00FF0B68">
      <w:r>
        <w:t>Basicamente, a reação tem como função a liberação de histamina e triptase, que vão ligar a receptores que irão causar essas alterações.</w:t>
      </w:r>
    </w:p>
    <w:p w14:paraId="5AEB34D5" w14:textId="2A21573A" w:rsidR="002D265B" w:rsidRDefault="002D265B" w:rsidP="002D265B">
      <w:pPr>
        <w:jc w:val="center"/>
      </w:pPr>
      <w:r w:rsidRPr="002D265B">
        <w:lastRenderedPageBreak/>
        <w:drawing>
          <wp:inline distT="0" distB="0" distL="0" distR="0" wp14:anchorId="59A15F99" wp14:editId="5417A4FD">
            <wp:extent cx="3926430" cy="2258171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315" cy="227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1353" w14:textId="3C1E4D64" w:rsidR="002D265B" w:rsidRDefault="002D265B" w:rsidP="002D265B">
      <w:pPr>
        <w:jc w:val="center"/>
      </w:pPr>
    </w:p>
    <w:p w14:paraId="1234198C" w14:textId="77777777" w:rsidR="002D265B" w:rsidRDefault="002D265B" w:rsidP="002D265B">
      <w:pPr>
        <w:pStyle w:val="NormalWeb"/>
        <w:spacing w:before="0" w:beforeAutospacing="0" w:after="0" w:afterAutospacing="0" w:line="0" w:lineRule="auto"/>
      </w:pPr>
      <w:r>
        <w:rPr>
          <w:rFonts w:ascii="Arial" w:hAnsi="Arial" w:cs="Arial"/>
          <w:color w:val="0C0C0C"/>
          <w:sz w:val="100"/>
          <w:szCs w:val="100"/>
        </w:rPr>
        <w:t>FATORES PREDISPONENTES</w:t>
      </w:r>
    </w:p>
    <w:p w14:paraId="61899008" w14:textId="77777777" w:rsidR="002D265B" w:rsidRDefault="002D265B" w:rsidP="002D265B">
      <w:pPr>
        <w:pStyle w:val="NormalWeb"/>
        <w:spacing w:before="0" w:beforeAutospacing="0" w:after="0" w:afterAutospacing="0" w:line="0" w:lineRule="auto"/>
      </w:pPr>
      <w:r>
        <w:rPr>
          <w:rFonts w:ascii="Arial" w:hAnsi="Arial" w:cs="Arial"/>
          <w:color w:val="0C0C0C"/>
          <w:sz w:val="100"/>
          <w:szCs w:val="100"/>
        </w:rPr>
        <w:t>FATORES PREDISPONENTES</w:t>
      </w:r>
    </w:p>
    <w:p w14:paraId="1AC72E88" w14:textId="77777777" w:rsidR="002D265B" w:rsidRDefault="002D265B" w:rsidP="002D265B">
      <w:pPr>
        <w:pStyle w:val="NormalWeb"/>
        <w:spacing w:before="0" w:beforeAutospacing="0" w:after="0" w:afterAutospacing="0" w:line="0" w:lineRule="auto"/>
      </w:pPr>
      <w:r>
        <w:rPr>
          <w:rFonts w:ascii="Arial" w:hAnsi="Arial" w:cs="Arial"/>
          <w:color w:val="0C0C0C"/>
          <w:sz w:val="100"/>
          <w:szCs w:val="100"/>
        </w:rPr>
        <w:t>FATORES PREDISPONENTES</w:t>
      </w:r>
    </w:p>
    <w:p w14:paraId="2FCE1A94" w14:textId="77777777" w:rsidR="002D265B" w:rsidRDefault="002D265B" w:rsidP="002D265B">
      <w:pPr>
        <w:pStyle w:val="NormalWeb"/>
        <w:spacing w:before="0" w:beforeAutospacing="0" w:after="0" w:afterAutospacing="0" w:line="0" w:lineRule="auto"/>
      </w:pPr>
      <w:r>
        <w:rPr>
          <w:rFonts w:ascii="Arial" w:hAnsi="Arial" w:cs="Arial"/>
          <w:color w:val="0C0C0C"/>
          <w:sz w:val="100"/>
          <w:szCs w:val="100"/>
        </w:rPr>
        <w:t>FATORES PREDISPONENTES</w:t>
      </w:r>
    </w:p>
    <w:p w14:paraId="45F962E9" w14:textId="77777777" w:rsidR="002D265B" w:rsidRDefault="002D265B" w:rsidP="002D265B">
      <w:pPr>
        <w:pStyle w:val="NormalWeb"/>
        <w:spacing w:before="0" w:beforeAutospacing="0" w:after="0" w:afterAutospacing="0" w:line="0" w:lineRule="auto"/>
      </w:pPr>
      <w:r>
        <w:rPr>
          <w:rFonts w:ascii="Arial" w:hAnsi="Arial" w:cs="Arial"/>
          <w:color w:val="0C0C0C"/>
          <w:sz w:val="100"/>
          <w:szCs w:val="100"/>
        </w:rPr>
        <w:t>FATORES PREDISPONENTES</w:t>
      </w:r>
    </w:p>
    <w:p w14:paraId="13FFD428" w14:textId="77777777" w:rsidR="002D265B" w:rsidRDefault="002D265B" w:rsidP="002D265B">
      <w:pPr>
        <w:pStyle w:val="NormalWeb"/>
        <w:spacing w:before="0" w:beforeAutospacing="0" w:after="0" w:afterAutospacing="0" w:line="0" w:lineRule="auto"/>
      </w:pPr>
      <w:r>
        <w:rPr>
          <w:rFonts w:ascii="Arial" w:hAnsi="Arial" w:cs="Arial"/>
          <w:color w:val="0C0C0C"/>
          <w:sz w:val="100"/>
          <w:szCs w:val="100"/>
        </w:rPr>
        <w:t>FATORES PREDISPONENTES</w:t>
      </w:r>
    </w:p>
    <w:p w14:paraId="0DC7F3A7" w14:textId="77777777" w:rsidR="002D265B" w:rsidRDefault="002D265B" w:rsidP="002D265B">
      <w:pPr>
        <w:pStyle w:val="NormalWeb"/>
        <w:spacing w:before="0" w:beforeAutospacing="0" w:after="0" w:afterAutospacing="0" w:line="0" w:lineRule="auto"/>
      </w:pPr>
      <w:r>
        <w:rPr>
          <w:rFonts w:ascii="Arial" w:hAnsi="Arial" w:cs="Arial"/>
          <w:color w:val="0C0C0C"/>
          <w:sz w:val="100"/>
          <w:szCs w:val="100"/>
        </w:rPr>
        <w:t>FATORES PREDISPONENTES</w:t>
      </w:r>
    </w:p>
    <w:p w14:paraId="718BC0EE" w14:textId="34DAE5FC" w:rsidR="002D265B" w:rsidRDefault="002D265B" w:rsidP="002D265B">
      <w:pPr>
        <w:pStyle w:val="Ttulo2"/>
      </w:pPr>
      <w:r>
        <w:t>Fatores predisponentes</w:t>
      </w:r>
    </w:p>
    <w:p w14:paraId="661D4E44" w14:textId="77777777" w:rsidR="002D265B" w:rsidRDefault="002D265B" w:rsidP="002D265B">
      <w:pPr>
        <w:pStyle w:val="NormalWeb"/>
        <w:spacing w:before="0" w:beforeAutospacing="0" w:after="0" w:afterAutospacing="0" w:line="0" w:lineRule="auto"/>
      </w:pPr>
      <w:r>
        <w:rPr>
          <w:rFonts w:ascii="Arial" w:hAnsi="Arial" w:cs="Arial"/>
          <w:color w:val="0C0C0C"/>
          <w:sz w:val="100"/>
          <w:szCs w:val="100"/>
        </w:rPr>
        <w:t>FATORES PREDISPONENTES</w:t>
      </w:r>
    </w:p>
    <w:p w14:paraId="4E69ED61" w14:textId="781D80F2" w:rsidR="002D265B" w:rsidRDefault="002D265B" w:rsidP="002D265B">
      <w:r>
        <w:t>São fatores que predispõe para o surgimento de reações alérgicas:</w:t>
      </w:r>
    </w:p>
    <w:p w14:paraId="1EE8BCA0" w14:textId="5F7BCB21" w:rsidR="002D265B" w:rsidRDefault="002D265B" w:rsidP="002D265B">
      <w:pPr>
        <w:pStyle w:val="PargrafodaLista"/>
        <w:numPr>
          <w:ilvl w:val="0"/>
          <w:numId w:val="6"/>
        </w:numPr>
      </w:pPr>
      <w:r>
        <w:t>Pacientes nos extremos de idade, novos demais ou velhos demais.</w:t>
      </w:r>
    </w:p>
    <w:p w14:paraId="347B2940" w14:textId="6E87AFCD" w:rsidR="002D265B" w:rsidRPr="002D265B" w:rsidRDefault="002D265B" w:rsidP="002D265B">
      <w:pPr>
        <w:pStyle w:val="PargrafodaLista"/>
        <w:numPr>
          <w:ilvl w:val="0"/>
          <w:numId w:val="6"/>
        </w:numPr>
      </w:pPr>
      <w:r>
        <w:t>Episódios de doenças respiratórias.</w:t>
      </w:r>
    </w:p>
    <w:p w14:paraId="7221B3B4" w14:textId="77777777" w:rsidR="002D265B" w:rsidRPr="002D265B" w:rsidRDefault="002D265B" w:rsidP="002D265B">
      <w:pPr>
        <w:pStyle w:val="PargrafodaLista"/>
        <w:numPr>
          <w:ilvl w:val="0"/>
          <w:numId w:val="6"/>
        </w:numPr>
        <w:rPr>
          <w:color w:val="1CADE4"/>
        </w:rPr>
      </w:pPr>
      <w:r>
        <w:t>Comorbidades: asma, insuficiência respiratória crônica, doença cardiovascular.</w:t>
      </w:r>
    </w:p>
    <w:p w14:paraId="11F7ECD1" w14:textId="77777777" w:rsidR="002D265B" w:rsidRPr="002D265B" w:rsidRDefault="002D265B" w:rsidP="002D265B">
      <w:pPr>
        <w:pStyle w:val="PargrafodaLista"/>
        <w:numPr>
          <w:ilvl w:val="0"/>
          <w:numId w:val="6"/>
        </w:numPr>
        <w:rPr>
          <w:color w:val="1CADE4"/>
        </w:rPr>
      </w:pPr>
      <w:r>
        <w:t>Viagem.</w:t>
      </w:r>
    </w:p>
    <w:p w14:paraId="6F44D208" w14:textId="77777777" w:rsidR="002D265B" w:rsidRPr="002D265B" w:rsidRDefault="002D265B" w:rsidP="002D265B">
      <w:pPr>
        <w:pStyle w:val="PargrafodaLista"/>
        <w:numPr>
          <w:ilvl w:val="0"/>
          <w:numId w:val="6"/>
        </w:numPr>
        <w:rPr>
          <w:color w:val="1CADE4"/>
        </w:rPr>
      </w:pPr>
      <w:proofErr w:type="spellStart"/>
      <w:r>
        <w:t>Mastocitose</w:t>
      </w:r>
      <w:proofErr w:type="spellEnd"/>
      <w:r>
        <w:t xml:space="preserve"> e atopia grave.</w:t>
      </w:r>
    </w:p>
    <w:p w14:paraId="3E3A8161" w14:textId="77777777" w:rsidR="002D265B" w:rsidRPr="002D265B" w:rsidRDefault="002D265B" w:rsidP="002D265B">
      <w:pPr>
        <w:pStyle w:val="PargrafodaLista"/>
        <w:numPr>
          <w:ilvl w:val="0"/>
          <w:numId w:val="6"/>
        </w:numPr>
        <w:rPr>
          <w:color w:val="1CADE4"/>
        </w:rPr>
      </w:pPr>
      <w:r>
        <w:t>Ingestão de álcool.</w:t>
      </w:r>
    </w:p>
    <w:p w14:paraId="65824578" w14:textId="7215A61E" w:rsidR="002D265B" w:rsidRPr="002D265B" w:rsidRDefault="002D265B" w:rsidP="002D265B">
      <w:pPr>
        <w:pStyle w:val="PargrafodaLista"/>
        <w:numPr>
          <w:ilvl w:val="0"/>
          <w:numId w:val="6"/>
        </w:numPr>
        <w:rPr>
          <w:color w:val="1CADE4"/>
        </w:rPr>
      </w:pPr>
      <w:r>
        <w:t xml:space="preserve">Uso de betabloqueadores, </w:t>
      </w:r>
      <w:r>
        <w:t xml:space="preserve">IECA </w:t>
      </w:r>
      <w:r>
        <w:t>a e anti-inflamatórios não esteroidais.</w:t>
      </w:r>
    </w:p>
    <w:p w14:paraId="4CB5C8B1" w14:textId="5F911E93" w:rsidR="002D265B" w:rsidRDefault="002D265B" w:rsidP="002D265B">
      <w:pPr>
        <w:pStyle w:val="Ttulo2"/>
      </w:pPr>
      <w:r>
        <w:t>Fatores etiologicos</w:t>
      </w:r>
    </w:p>
    <w:p w14:paraId="5D4ED03B" w14:textId="79E186EF" w:rsidR="002D265B" w:rsidRPr="002D265B" w:rsidRDefault="002D265B" w:rsidP="002D265B">
      <w:r>
        <w:t>Na tabela abaixo é possível perceber que os principais fatores etiológicos para anafilaxia são por ingestão de alimentos, principalmente frutos do mar. Enquanto o uso de drogas ocupa o segundo lugar.</w:t>
      </w:r>
    </w:p>
    <w:p w14:paraId="740B45F6" w14:textId="5C0265C6" w:rsidR="002D265B" w:rsidRDefault="002D265B" w:rsidP="002D265B">
      <w:r>
        <w:t>   </w:t>
      </w:r>
      <w:r w:rsidRPr="002D265B">
        <w:drawing>
          <wp:inline distT="0" distB="0" distL="0" distR="0" wp14:anchorId="72111F0F" wp14:editId="54C09647">
            <wp:extent cx="5400040" cy="1882140"/>
            <wp:effectExtent l="0" t="0" r="0" b="3810"/>
            <wp:docPr id="5" name="Espaço Reservado para Conteúdo 4">
              <a:extLst xmlns:a="http://schemas.openxmlformats.org/drawingml/2006/main">
                <a:ext uri="{FF2B5EF4-FFF2-40B4-BE49-F238E27FC236}">
                  <a16:creationId xmlns:a16="http://schemas.microsoft.com/office/drawing/2014/main" id="{87EBCEAD-1C90-98BF-9661-33F5563C992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ço Reservado para Conteúdo 4">
                      <a:extLst>
                        <a:ext uri="{FF2B5EF4-FFF2-40B4-BE49-F238E27FC236}">
                          <a16:creationId xmlns:a16="http://schemas.microsoft.com/office/drawing/2014/main" id="{87EBCEAD-1C90-98BF-9661-33F5563C992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6E30" w14:textId="29ECF408" w:rsidR="002D265B" w:rsidRDefault="002D265B" w:rsidP="002D265B">
      <w:pPr>
        <w:pStyle w:val="Ttulo2"/>
      </w:pPr>
      <w:r>
        <w:t>Manifestações clínicas</w:t>
      </w:r>
    </w:p>
    <w:p w14:paraId="4A18C1C4" w14:textId="77777777" w:rsidR="002D265B" w:rsidRPr="002D265B" w:rsidRDefault="002D265B" w:rsidP="002D265B">
      <w:r w:rsidRPr="002D265B">
        <w:rPr>
          <w:b/>
          <w:bCs/>
        </w:rPr>
        <w:t>As manifestações têm um tempo de início variável</w:t>
      </w:r>
      <w:r w:rsidRPr="002D265B">
        <w:t>. O tempo entre o contato alérgeno e a morte pode variar de 5 minutos após injeção de droga, 10-15 minutos após picada de inseto e até 35 minutos em anafilaxia secundária a alimentos.</w:t>
      </w:r>
    </w:p>
    <w:p w14:paraId="32CE4808" w14:textId="77777777" w:rsidR="002D265B" w:rsidRPr="002D265B" w:rsidRDefault="002D265B" w:rsidP="002D265B">
      <w:r w:rsidRPr="002D265B">
        <w:lastRenderedPageBreak/>
        <w:t>A maioria dos pacientes que desenvolvem manifestações graves apresenta essas manifestações em até 60 minutos da exposição, com mais da metade das mortes por anafilaxia ocorrendo com 60 minutos da exposição.</w:t>
      </w:r>
    </w:p>
    <w:p w14:paraId="025A90AE" w14:textId="18208765" w:rsidR="002D265B" w:rsidRDefault="002D265B" w:rsidP="002D265B">
      <w:r>
        <w:t>A anafilaxia por causa alimentar tem uma maior demora devido a absorção ainda sofrer algumas passagens, enquanto a por uso de drogas tende a ser mais fatal devido a mais rápida absorção.</w:t>
      </w:r>
    </w:p>
    <w:p w14:paraId="32F6DFE5" w14:textId="77777777" w:rsidR="00DD2BD2" w:rsidRDefault="00DD2BD2" w:rsidP="002D265B"/>
    <w:tbl>
      <w:tblPr>
        <w:tblStyle w:val="TabeladeGrade4-nfase4"/>
        <w:tblW w:w="8593" w:type="dxa"/>
        <w:tblLook w:val="04A0" w:firstRow="1" w:lastRow="0" w:firstColumn="1" w:lastColumn="0" w:noHBand="0" w:noVBand="1"/>
      </w:tblPr>
      <w:tblGrid>
        <w:gridCol w:w="2558"/>
        <w:gridCol w:w="2344"/>
        <w:gridCol w:w="3691"/>
      </w:tblGrid>
      <w:tr w:rsidR="00DD2BD2" w14:paraId="24764F75" w14:textId="77777777" w:rsidTr="00DD2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3" w:type="dxa"/>
            <w:gridSpan w:val="3"/>
          </w:tcPr>
          <w:p w14:paraId="53B6BCD0" w14:textId="7711DA20" w:rsidR="00DD2BD2" w:rsidRDefault="00DD2BD2" w:rsidP="00DD2BD2">
            <w:pPr>
              <w:spacing w:line="360" w:lineRule="auto"/>
              <w:ind w:firstLine="0"/>
              <w:jc w:val="center"/>
            </w:pPr>
            <w:r>
              <w:t>Tempo para início das manifestações clínicas</w:t>
            </w:r>
          </w:p>
        </w:tc>
      </w:tr>
      <w:tr w:rsidR="00DD2BD2" w14:paraId="5FF838E2" w14:textId="0AF475E6" w:rsidTr="00DD2B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8" w:type="dxa"/>
            <w:tcBorders>
              <w:right w:val="single" w:sz="4" w:space="0" w:color="auto"/>
            </w:tcBorders>
          </w:tcPr>
          <w:p w14:paraId="69D30874" w14:textId="1786B678" w:rsidR="00DD2BD2" w:rsidRPr="00DD2BD2" w:rsidRDefault="00DD2BD2" w:rsidP="00DD2BD2">
            <w:pPr>
              <w:spacing w:line="360" w:lineRule="auto"/>
              <w:ind w:firstLine="0"/>
              <w:jc w:val="center"/>
            </w:pPr>
            <w:r w:rsidRPr="00DD2BD2">
              <w:t>Ingesta de alimentos</w:t>
            </w:r>
          </w:p>
        </w:tc>
        <w:tc>
          <w:tcPr>
            <w:tcW w:w="2344" w:type="dxa"/>
            <w:tcBorders>
              <w:left w:val="single" w:sz="4" w:space="0" w:color="auto"/>
              <w:right w:val="single" w:sz="4" w:space="0" w:color="auto"/>
            </w:tcBorders>
          </w:tcPr>
          <w:p w14:paraId="1D6A947B" w14:textId="3CC9794A" w:rsidR="00DD2BD2" w:rsidRPr="00DD2BD2" w:rsidRDefault="00DD2BD2" w:rsidP="00DD2BD2">
            <w:pPr>
              <w:spacing w:line="36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D2BD2">
              <w:rPr>
                <w:b/>
                <w:bCs/>
              </w:rPr>
              <w:t>Picada de inseto</w:t>
            </w:r>
          </w:p>
        </w:tc>
        <w:tc>
          <w:tcPr>
            <w:tcW w:w="3690" w:type="dxa"/>
            <w:tcBorders>
              <w:left w:val="single" w:sz="4" w:space="0" w:color="auto"/>
            </w:tcBorders>
          </w:tcPr>
          <w:p w14:paraId="5F5BA583" w14:textId="68696A71" w:rsidR="00DD2BD2" w:rsidRPr="00DD2BD2" w:rsidRDefault="00DD2BD2" w:rsidP="00DD2BD2">
            <w:pPr>
              <w:spacing w:line="36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Uso de drogas</w:t>
            </w:r>
          </w:p>
        </w:tc>
      </w:tr>
      <w:tr w:rsidR="00DD2BD2" w14:paraId="503B8371" w14:textId="51EE717B" w:rsidTr="00DD2BD2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8" w:type="dxa"/>
            <w:tcBorders>
              <w:right w:val="single" w:sz="4" w:space="0" w:color="auto"/>
            </w:tcBorders>
          </w:tcPr>
          <w:p w14:paraId="50AB21C6" w14:textId="0AC280FC" w:rsidR="00DD2BD2" w:rsidRDefault="00DD2BD2" w:rsidP="00DD2BD2">
            <w:pPr>
              <w:spacing w:line="360" w:lineRule="auto"/>
              <w:ind w:firstLine="0"/>
              <w:jc w:val="center"/>
            </w:pPr>
            <w:r>
              <w:t>35 minutos</w:t>
            </w:r>
          </w:p>
        </w:tc>
        <w:tc>
          <w:tcPr>
            <w:tcW w:w="2344" w:type="dxa"/>
            <w:tcBorders>
              <w:left w:val="single" w:sz="4" w:space="0" w:color="auto"/>
              <w:right w:val="single" w:sz="4" w:space="0" w:color="auto"/>
            </w:tcBorders>
          </w:tcPr>
          <w:p w14:paraId="7738568B" w14:textId="74C432FB" w:rsidR="00DD2BD2" w:rsidRDefault="00DD2BD2" w:rsidP="00DD2BD2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10 – 15 minutos</w:t>
            </w:r>
          </w:p>
        </w:tc>
        <w:tc>
          <w:tcPr>
            <w:tcW w:w="3690" w:type="dxa"/>
            <w:tcBorders>
              <w:left w:val="single" w:sz="4" w:space="0" w:color="auto"/>
            </w:tcBorders>
          </w:tcPr>
          <w:p w14:paraId="43844DF4" w14:textId="13A766D4" w:rsidR="00DD2BD2" w:rsidRDefault="00DD2BD2" w:rsidP="00DD2BD2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5 minutos</w:t>
            </w:r>
          </w:p>
        </w:tc>
      </w:tr>
    </w:tbl>
    <w:p w14:paraId="0C79F6CF" w14:textId="76C4522D" w:rsidR="002D265B" w:rsidRDefault="002D265B" w:rsidP="002D265B"/>
    <w:p w14:paraId="64918840" w14:textId="55501E22" w:rsidR="00DD2BD2" w:rsidRDefault="00DD2BD2" w:rsidP="00DD2BD2">
      <w:r w:rsidRPr="00DD2BD2">
        <w:t xml:space="preserve">O quadro clínico pode seguir um </w:t>
      </w:r>
      <w:r w:rsidRPr="00DD2BD2">
        <w:rPr>
          <w:b/>
          <w:bCs/>
        </w:rPr>
        <w:t xml:space="preserve">curso </w:t>
      </w:r>
      <w:proofErr w:type="spellStart"/>
      <w:r w:rsidRPr="00DD2BD2">
        <w:rPr>
          <w:b/>
          <w:bCs/>
        </w:rPr>
        <w:t>unifásico</w:t>
      </w:r>
      <w:proofErr w:type="spellEnd"/>
      <w:r w:rsidRPr="00DD2BD2">
        <w:rPr>
          <w:b/>
          <w:bCs/>
        </w:rPr>
        <w:t xml:space="preserve"> ou bifásico</w:t>
      </w:r>
      <w:r w:rsidRPr="00DD2BD2">
        <w:t xml:space="preserve">; neste segundo caso, os sintomas desaparecem ou apresentam melhora parcial, para retornarem cerca de 1 a 8 horas depois, período que pode se estender até 24 horas. </w:t>
      </w:r>
      <w:r w:rsidRPr="00DD2BD2">
        <w:rPr>
          <w:b/>
          <w:bCs/>
        </w:rPr>
        <w:t xml:space="preserve">Em cerca de 75 a 80% dos casos, o quadro segue um padrão </w:t>
      </w:r>
      <w:proofErr w:type="spellStart"/>
      <w:r w:rsidRPr="00DD2BD2">
        <w:rPr>
          <w:b/>
          <w:bCs/>
        </w:rPr>
        <w:t>unifásico</w:t>
      </w:r>
      <w:proofErr w:type="spellEnd"/>
      <w:r>
        <w:rPr>
          <w:b/>
          <w:bCs/>
        </w:rPr>
        <w:t xml:space="preserve">. </w:t>
      </w:r>
      <w:r>
        <w:t>Ou seja, o bifásico possui duas fases, uma de desaparecimento dos sintomas e outra de retorno.</w:t>
      </w:r>
    </w:p>
    <w:p w14:paraId="7DA0D68A" w14:textId="61844604" w:rsidR="00BC1E80" w:rsidRDefault="00BC1E80" w:rsidP="00BC1E80">
      <w:pPr>
        <w:pStyle w:val="Ttulo3"/>
      </w:pPr>
      <w:r>
        <w:t>Sintomas cutâneos</w:t>
      </w:r>
    </w:p>
    <w:p w14:paraId="355259CD" w14:textId="6ED46EE2" w:rsidR="00DD2BD2" w:rsidRPr="00DD2BD2" w:rsidRDefault="00DD2BD2" w:rsidP="00DD2BD2">
      <w:r w:rsidRPr="00DD2BD2">
        <w:drawing>
          <wp:anchor distT="0" distB="0" distL="114300" distR="114300" simplePos="0" relativeHeight="251628544" behindDoc="0" locked="0" layoutInCell="1" allowOverlap="1" wp14:anchorId="7B10F6CE" wp14:editId="29B7FBF4">
            <wp:simplePos x="0" y="0"/>
            <wp:positionH relativeFrom="margin">
              <wp:align>center</wp:align>
            </wp:positionH>
            <wp:positionV relativeFrom="paragraph">
              <wp:posOffset>766749</wp:posOffset>
            </wp:positionV>
            <wp:extent cx="2989580" cy="1979930"/>
            <wp:effectExtent l="0" t="0" r="1270" b="1270"/>
            <wp:wrapTopAndBottom/>
            <wp:docPr id="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C664876F-7E62-EF40-CB6F-640A95C182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C664876F-7E62-EF40-CB6F-640A95C182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979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2BD2">
        <w:rPr>
          <w:b/>
          <w:bCs/>
        </w:rPr>
        <w:t>O envolvimento cutâneo</w:t>
      </w:r>
      <w:r w:rsidRPr="00DD2BD2">
        <w:t xml:space="preserve">, que ocorre em </w:t>
      </w:r>
      <w:r w:rsidRPr="00BC1E80">
        <w:rPr>
          <w:b/>
          <w:bCs/>
          <w:i/>
          <w:iCs/>
        </w:rPr>
        <w:t>85 a 90%</w:t>
      </w:r>
      <w:r w:rsidRPr="00DD2BD2">
        <w:t xml:space="preserve"> dos casos. Os sintomas cutâneos e de mucosa incluem </w:t>
      </w:r>
      <w:r w:rsidRPr="00DD2BD2">
        <w:rPr>
          <w:b/>
          <w:bCs/>
        </w:rPr>
        <w:t xml:space="preserve">prurido, rubor, edema dos lábios e língua, eritema </w:t>
      </w:r>
      <w:proofErr w:type="spellStart"/>
      <w:r w:rsidRPr="00DD2BD2">
        <w:rPr>
          <w:b/>
          <w:bCs/>
        </w:rPr>
        <w:t>urticariforme</w:t>
      </w:r>
      <w:proofErr w:type="spellEnd"/>
      <w:r w:rsidRPr="00DD2BD2">
        <w:rPr>
          <w:b/>
          <w:bCs/>
        </w:rPr>
        <w:t xml:space="preserve">. </w:t>
      </w:r>
      <w:r w:rsidRPr="00DD2BD2">
        <w:t>As manifestações cutâneas estão particularmente ausentes em reações anafiláticas, que ocorrem durante ato cirúrgico.</w:t>
      </w:r>
    </w:p>
    <w:p w14:paraId="3E7C16DE" w14:textId="7E5564C7" w:rsidR="00DD2BD2" w:rsidRDefault="00DD2BD2" w:rsidP="00DD2BD2">
      <w:r w:rsidRPr="00DD2BD2">
        <w:lastRenderedPageBreak/>
        <w:drawing>
          <wp:anchor distT="0" distB="0" distL="114300" distR="114300" simplePos="0" relativeHeight="251629568" behindDoc="1" locked="0" layoutInCell="1" allowOverlap="1" wp14:anchorId="2F449B28" wp14:editId="242F5D46">
            <wp:simplePos x="0" y="0"/>
            <wp:positionH relativeFrom="margin">
              <wp:align>center</wp:align>
            </wp:positionH>
            <wp:positionV relativeFrom="paragraph">
              <wp:posOffset>2149475</wp:posOffset>
            </wp:positionV>
            <wp:extent cx="2987675" cy="2114550"/>
            <wp:effectExtent l="0" t="0" r="3175" b="0"/>
            <wp:wrapTight wrapText="bothSides">
              <wp:wrapPolygon edited="0">
                <wp:start x="551" y="0"/>
                <wp:lineTo x="0" y="389"/>
                <wp:lineTo x="0" y="21211"/>
                <wp:lineTo x="551" y="21405"/>
                <wp:lineTo x="20934" y="21405"/>
                <wp:lineTo x="21485" y="21211"/>
                <wp:lineTo x="21485" y="389"/>
                <wp:lineTo x="20934" y="0"/>
                <wp:lineTo x="551" y="0"/>
              </wp:wrapPolygon>
            </wp:wrapTight>
            <wp:docPr id="11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54FD7B57-7302-8346-253C-380AD703E8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54FD7B57-7302-8346-253C-380AD703E8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1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9DFD7A" w14:textId="32C5D5F1" w:rsidR="00DD2BD2" w:rsidRDefault="00DD2BD2" w:rsidP="00DD2BD2"/>
    <w:p w14:paraId="6AAD4282" w14:textId="05740C98" w:rsidR="00DD2BD2" w:rsidRDefault="00DD2BD2" w:rsidP="00DD2BD2"/>
    <w:p w14:paraId="5013E8E7" w14:textId="26DABCE9" w:rsidR="00DD2BD2" w:rsidRDefault="00DD2BD2" w:rsidP="00DD2BD2"/>
    <w:p w14:paraId="308E0C10" w14:textId="54719E59" w:rsidR="00DD2BD2" w:rsidRDefault="00DD2BD2" w:rsidP="00DD2BD2"/>
    <w:p w14:paraId="25D4A2B0" w14:textId="6971F20E" w:rsidR="00DD2BD2" w:rsidRDefault="00DD2BD2" w:rsidP="00DD2BD2"/>
    <w:p w14:paraId="53600529" w14:textId="25B2DC53" w:rsidR="00DD2BD2" w:rsidRDefault="00DD2BD2" w:rsidP="00DD2BD2"/>
    <w:p w14:paraId="59BB1B3E" w14:textId="7A10F11D" w:rsidR="00DD2BD2" w:rsidRDefault="00DD2BD2" w:rsidP="00DD2BD2"/>
    <w:p w14:paraId="76FECC55" w14:textId="27F1E12D" w:rsidR="00DD2BD2" w:rsidRDefault="00DD2BD2" w:rsidP="00DD2BD2"/>
    <w:p w14:paraId="05583E6A" w14:textId="255F0B6D" w:rsidR="00DD2BD2" w:rsidRDefault="00DD2BD2" w:rsidP="00DD2BD2"/>
    <w:p w14:paraId="4A4620CD" w14:textId="7F6527E5" w:rsidR="00DD2BD2" w:rsidRDefault="00DD2BD2" w:rsidP="00DD2BD2"/>
    <w:p w14:paraId="66B86AB5" w14:textId="4BE29EF5" w:rsidR="00DD2BD2" w:rsidRDefault="00DD2BD2" w:rsidP="00DD2BD2"/>
    <w:p w14:paraId="4FF90AD9" w14:textId="20220B9D" w:rsidR="00DD2BD2" w:rsidRDefault="00DD2BD2" w:rsidP="00DD2BD2"/>
    <w:p w14:paraId="55244546" w14:textId="6B8273F5" w:rsidR="00DD2BD2" w:rsidRDefault="00DD2BD2" w:rsidP="00DD2BD2"/>
    <w:p w14:paraId="06A75C91" w14:textId="17BA072C" w:rsidR="00DD2BD2" w:rsidRDefault="00DD2BD2" w:rsidP="00DD2BD2"/>
    <w:p w14:paraId="0094CC53" w14:textId="4FE708DF" w:rsidR="00DD2BD2" w:rsidRDefault="00DD2BD2" w:rsidP="00DD2BD2"/>
    <w:p w14:paraId="57290773" w14:textId="77777777" w:rsidR="00BC1E80" w:rsidRDefault="00BC1E80" w:rsidP="00DD2BD2"/>
    <w:p w14:paraId="609FA767" w14:textId="77777777" w:rsidR="00BC1E80" w:rsidRDefault="00BC1E80" w:rsidP="00DD2BD2"/>
    <w:p w14:paraId="6732CB17" w14:textId="77777777" w:rsidR="00BC1E80" w:rsidRDefault="00BC1E80" w:rsidP="00DD2BD2"/>
    <w:p w14:paraId="6C3563E5" w14:textId="77777777" w:rsidR="00BC1E80" w:rsidRDefault="00BC1E80" w:rsidP="00DD2BD2"/>
    <w:p w14:paraId="3DBBC35E" w14:textId="6AAAF86B" w:rsidR="00BC1E80" w:rsidRDefault="00BC1E80" w:rsidP="00DD2BD2"/>
    <w:p w14:paraId="081AC69C" w14:textId="04B98DBD" w:rsidR="00BC1E80" w:rsidRDefault="00BC1E80" w:rsidP="00DD2BD2"/>
    <w:p w14:paraId="7344F19F" w14:textId="77777777" w:rsidR="00BC1E80" w:rsidRDefault="00BC1E80" w:rsidP="00DD2BD2"/>
    <w:p w14:paraId="21665E59" w14:textId="562F5ACE" w:rsidR="00BC1E80" w:rsidRDefault="00BC1E80" w:rsidP="00DD2BD2"/>
    <w:p w14:paraId="4066823E" w14:textId="77777777" w:rsidR="00BC1E80" w:rsidRDefault="00BC1E80" w:rsidP="00DD2BD2"/>
    <w:p w14:paraId="75F43E79" w14:textId="2D8F5D24" w:rsidR="00BC1E80" w:rsidRDefault="00BC1E80" w:rsidP="00DD2BD2">
      <w:r w:rsidRPr="00DD2BD2">
        <w:drawing>
          <wp:anchor distT="0" distB="0" distL="114300" distR="114300" simplePos="0" relativeHeight="251636736" behindDoc="0" locked="0" layoutInCell="1" allowOverlap="1" wp14:anchorId="682F474B" wp14:editId="0F1CB41E">
            <wp:simplePos x="0" y="0"/>
            <wp:positionH relativeFrom="margin">
              <wp:posOffset>1137478</wp:posOffset>
            </wp:positionH>
            <wp:positionV relativeFrom="paragraph">
              <wp:posOffset>7399</wp:posOffset>
            </wp:positionV>
            <wp:extent cx="3152775" cy="2390140"/>
            <wp:effectExtent l="0" t="0" r="9525" b="0"/>
            <wp:wrapThrough wrapText="bothSides">
              <wp:wrapPolygon edited="0">
                <wp:start x="522" y="0"/>
                <wp:lineTo x="0" y="344"/>
                <wp:lineTo x="0" y="21175"/>
                <wp:lineTo x="522" y="21348"/>
                <wp:lineTo x="21013" y="21348"/>
                <wp:lineTo x="21535" y="21175"/>
                <wp:lineTo x="21535" y="344"/>
                <wp:lineTo x="21013" y="0"/>
                <wp:lineTo x="522" y="0"/>
              </wp:wrapPolygon>
            </wp:wrapThrough>
            <wp:docPr id="8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340F05CB-C2CA-E90A-9EF2-EFB1C40CD0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340F05CB-C2CA-E90A-9EF2-EFB1C40CD0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90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599F766" w14:textId="0A716E93" w:rsidR="00BC1E80" w:rsidRDefault="00BC1E80" w:rsidP="00DD2BD2"/>
    <w:p w14:paraId="3C9481A6" w14:textId="39E7B7A9" w:rsidR="00BC1E80" w:rsidRDefault="00BC1E80" w:rsidP="00DD2BD2"/>
    <w:p w14:paraId="015C3918" w14:textId="02C34F7F" w:rsidR="00BC1E80" w:rsidRDefault="00BC1E80" w:rsidP="00DD2BD2"/>
    <w:p w14:paraId="0BF6339F" w14:textId="283F6E12" w:rsidR="00BC1E80" w:rsidRDefault="00BC1E80" w:rsidP="00DD2BD2"/>
    <w:p w14:paraId="1A4E3555" w14:textId="6A017A4A" w:rsidR="00BC1E80" w:rsidRDefault="00BC1E80" w:rsidP="00DD2BD2"/>
    <w:p w14:paraId="2B35AE13" w14:textId="152B2081" w:rsidR="00BC1E80" w:rsidRDefault="00BC1E80" w:rsidP="00DD2BD2"/>
    <w:p w14:paraId="22F06933" w14:textId="32316F80" w:rsidR="00BC1E80" w:rsidRDefault="00BC1E80" w:rsidP="00DD2BD2"/>
    <w:p w14:paraId="3DB0B408" w14:textId="75377029" w:rsidR="00BC1E80" w:rsidRDefault="00BC1E80" w:rsidP="00DD2BD2"/>
    <w:p w14:paraId="336E3AED" w14:textId="2EF6B485" w:rsidR="00BC1E80" w:rsidRDefault="00BC1E80" w:rsidP="00DD2BD2"/>
    <w:p w14:paraId="2EE5FEC7" w14:textId="57867921" w:rsidR="00BC1E80" w:rsidRDefault="00BC1E80" w:rsidP="00DD2BD2"/>
    <w:p w14:paraId="7029548A" w14:textId="77777777" w:rsidR="00BC1E80" w:rsidRDefault="00BC1E80" w:rsidP="00DD2BD2"/>
    <w:p w14:paraId="32788EB2" w14:textId="6FF4E72C" w:rsidR="00DD2BD2" w:rsidRDefault="00DD2BD2" w:rsidP="00DD2BD2"/>
    <w:p w14:paraId="21556C8F" w14:textId="6E7AF7A6" w:rsidR="00BC1E80" w:rsidRDefault="00BC1E80" w:rsidP="00DD2BD2"/>
    <w:p w14:paraId="7E7B9210" w14:textId="0917A438" w:rsidR="00BC1E80" w:rsidRDefault="00BC1E80" w:rsidP="00BC1E80">
      <w:pPr>
        <w:pStyle w:val="Ttulo3"/>
      </w:pPr>
      <w:r>
        <w:t>Sintomas respiratórios</w:t>
      </w:r>
    </w:p>
    <w:p w14:paraId="5BD215C7" w14:textId="1AE078AD" w:rsidR="00BC1E80" w:rsidRPr="00BC1E80" w:rsidRDefault="00BC1E80" w:rsidP="00BC1E80">
      <w:r w:rsidRPr="00BC1E80">
        <w:rPr>
          <w:b/>
          <w:bCs/>
        </w:rPr>
        <w:t>Os sintomas respiratórios</w:t>
      </w:r>
      <w:r w:rsidRPr="00BC1E80">
        <w:t xml:space="preserve">, após os cutâneos, são os mais comuns e incluem sintomas de vias aéreas superiores como coriza, espirros, prurido nasal e, em suas formas graves, </w:t>
      </w:r>
      <w:r w:rsidRPr="00BC1E80">
        <w:rPr>
          <w:b/>
          <w:bCs/>
        </w:rPr>
        <w:t>estridor, disfonia e rouquidão</w:t>
      </w:r>
      <w:r w:rsidRPr="00BC1E80">
        <w:t xml:space="preserve">, mas também envolvem vias aéreas inferiores com sintomas como </w:t>
      </w:r>
      <w:r w:rsidRPr="00BC1E80">
        <w:rPr>
          <w:b/>
          <w:bCs/>
        </w:rPr>
        <w:t xml:space="preserve">dispneia, sibilos e outros achados de </w:t>
      </w:r>
      <w:commentRangeStart w:id="0"/>
      <w:r w:rsidRPr="00BC1E80">
        <w:rPr>
          <w:b/>
          <w:bCs/>
        </w:rPr>
        <w:t>broncoespasmo</w:t>
      </w:r>
      <w:commentRangeEnd w:id="0"/>
      <w:r>
        <w:rPr>
          <w:rStyle w:val="Refdecomentrio"/>
        </w:rPr>
        <w:commentReference w:id="0"/>
      </w:r>
      <w:r w:rsidRPr="00BC1E80">
        <w:rPr>
          <w:b/>
          <w:bCs/>
        </w:rPr>
        <w:t xml:space="preserve"> e hipoxemia. </w:t>
      </w:r>
      <w:r w:rsidRPr="00BC1E80">
        <w:t>Cerca de 45 a 60% dos óbitos por reações alérgicas são secundários a complicações respiratórias.</w:t>
      </w:r>
    </w:p>
    <w:p w14:paraId="7CC23DDD" w14:textId="0BEE487F" w:rsidR="00BC1E80" w:rsidRDefault="00BC1E80" w:rsidP="00BC1E80"/>
    <w:p w14:paraId="6B03B495" w14:textId="5112B56A" w:rsidR="00BC1E80" w:rsidRDefault="00BC1E80" w:rsidP="00BC1E80"/>
    <w:p w14:paraId="51546CF0" w14:textId="043CA25E" w:rsidR="00BC1E80" w:rsidRDefault="00BC1E80" w:rsidP="00BC1E80"/>
    <w:p w14:paraId="5991C601" w14:textId="0CD14C2E" w:rsidR="00BC1E80" w:rsidRDefault="00BC1E80" w:rsidP="00BC1E80">
      <w:r w:rsidRPr="00BC1E80">
        <w:lastRenderedPageBreak/>
        <w:drawing>
          <wp:anchor distT="0" distB="0" distL="114300" distR="114300" simplePos="0" relativeHeight="251645952" behindDoc="0" locked="0" layoutInCell="1" allowOverlap="1" wp14:anchorId="1926CE0C" wp14:editId="05A9F665">
            <wp:simplePos x="0" y="0"/>
            <wp:positionH relativeFrom="column">
              <wp:posOffset>2312312</wp:posOffset>
            </wp:positionH>
            <wp:positionV relativeFrom="paragraph">
              <wp:posOffset>-712553</wp:posOffset>
            </wp:positionV>
            <wp:extent cx="2522621" cy="2494277"/>
            <wp:effectExtent l="0" t="0" r="0" b="1905"/>
            <wp:wrapNone/>
            <wp:docPr id="12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11265B5C-3390-A8FB-8DB0-59CFC8BEAC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11265B5C-3390-A8FB-8DB0-59CFC8BEAC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2621" cy="2494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E80">
        <w:drawing>
          <wp:anchor distT="0" distB="0" distL="114300" distR="114300" simplePos="0" relativeHeight="251655168" behindDoc="0" locked="0" layoutInCell="1" allowOverlap="1" wp14:anchorId="2FA4AFB9" wp14:editId="66A2889E">
            <wp:simplePos x="0" y="0"/>
            <wp:positionH relativeFrom="column">
              <wp:posOffset>429840</wp:posOffset>
            </wp:positionH>
            <wp:positionV relativeFrom="paragraph">
              <wp:posOffset>-744414</wp:posOffset>
            </wp:positionV>
            <wp:extent cx="1376680" cy="1678940"/>
            <wp:effectExtent l="0" t="0" r="0" b="0"/>
            <wp:wrapNone/>
            <wp:docPr id="13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2E9054AC-D5EC-DDE3-CAC6-ED98E2764B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2E9054AC-D5EC-DDE3-CAC6-ED98E2764B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E56F7" w14:textId="77777777" w:rsidR="00BC1E80" w:rsidRDefault="00BC1E80" w:rsidP="00BC1E80"/>
    <w:p w14:paraId="36FCDBB9" w14:textId="77777777" w:rsidR="00BC1E80" w:rsidRDefault="00BC1E80" w:rsidP="00BC1E80"/>
    <w:p w14:paraId="3C6AC854" w14:textId="77777777" w:rsidR="00BC1E80" w:rsidRDefault="00BC1E80" w:rsidP="00BC1E80"/>
    <w:p w14:paraId="34B9CC49" w14:textId="0A7A353B" w:rsidR="00BC1E80" w:rsidRDefault="00BC1E80" w:rsidP="00BC1E80"/>
    <w:p w14:paraId="415D5BE7" w14:textId="77777777" w:rsidR="00BC1E80" w:rsidRDefault="00BC1E80" w:rsidP="00BC1E80"/>
    <w:p w14:paraId="2ABB9015" w14:textId="77777777" w:rsidR="00BC1E80" w:rsidRDefault="00BC1E80" w:rsidP="00BC1E80"/>
    <w:p w14:paraId="422970A2" w14:textId="77777777" w:rsidR="00BC1E80" w:rsidRDefault="00BC1E80" w:rsidP="00BC1E80"/>
    <w:p w14:paraId="158E5D1D" w14:textId="77777777" w:rsidR="00BC1E80" w:rsidRDefault="00BC1E80" w:rsidP="00BC1E80"/>
    <w:p w14:paraId="6242E816" w14:textId="77777777" w:rsidR="00BC1E80" w:rsidRDefault="00BC1E80" w:rsidP="00BC1E80"/>
    <w:p w14:paraId="7EA51901" w14:textId="77777777" w:rsidR="00BC1E80" w:rsidRDefault="00BC1E80" w:rsidP="00BC1E80"/>
    <w:p w14:paraId="2CEAB670" w14:textId="2C247C98" w:rsidR="00BC1E80" w:rsidRDefault="00BC1E80" w:rsidP="00BC1E80">
      <w:pPr>
        <w:pStyle w:val="Ttulo3"/>
      </w:pPr>
      <w:r>
        <w:t>Sintomas cardiovasculares</w:t>
      </w:r>
    </w:p>
    <w:p w14:paraId="3B47D5EE" w14:textId="77777777" w:rsidR="00BC1E80" w:rsidRPr="00BC1E80" w:rsidRDefault="00BC1E80" w:rsidP="00BC1E80">
      <w:r w:rsidRPr="00BC1E80">
        <w:rPr>
          <w:b/>
          <w:bCs/>
        </w:rPr>
        <w:t xml:space="preserve">As complicações cardiovasculares </w:t>
      </w:r>
      <w:r w:rsidRPr="00BC1E80">
        <w:t xml:space="preserve">ocorrem pela anafilaxia, ou como complicação de seu tratamento. </w:t>
      </w:r>
      <w:commentRangeStart w:id="1"/>
      <w:r w:rsidRPr="00BC1E80">
        <w:rPr>
          <w:b/>
          <w:bCs/>
        </w:rPr>
        <w:t>Síncope</w:t>
      </w:r>
      <w:commentRangeEnd w:id="1"/>
      <w:r>
        <w:rPr>
          <w:rStyle w:val="Refdecomentrio"/>
        </w:rPr>
        <w:commentReference w:id="1"/>
      </w:r>
      <w:r w:rsidRPr="00BC1E80">
        <w:rPr>
          <w:b/>
          <w:bCs/>
        </w:rPr>
        <w:t xml:space="preserve"> e tonturas </w:t>
      </w:r>
      <w:r w:rsidRPr="00BC1E80">
        <w:t xml:space="preserve">são relativamente comuns, bem como arritmias e bradicardia paradoxal. O uso da </w:t>
      </w:r>
      <w:r w:rsidRPr="00BC1E80">
        <w:rPr>
          <w:b/>
          <w:bCs/>
        </w:rPr>
        <w:t>atropina pode reverter a bradicardia</w:t>
      </w:r>
      <w:r w:rsidRPr="00BC1E80">
        <w:t xml:space="preserve">, mas não têm efeito na hipotensão. O choque anafilático inicialmente se manifesta por </w:t>
      </w:r>
      <w:r w:rsidRPr="00BC1E80">
        <w:rPr>
          <w:b/>
          <w:bCs/>
        </w:rPr>
        <w:t>taquicardia e diminuição da resistência vascular sistêmica</w:t>
      </w:r>
      <w:r w:rsidRPr="00BC1E80">
        <w:t xml:space="preserve"> e, posteriormente, devido a aumento da permeabilidade capilar, com hipovolemia.</w:t>
      </w:r>
    </w:p>
    <w:p w14:paraId="0ECCA977" w14:textId="30570C5F" w:rsidR="00BC1E80" w:rsidRDefault="00BC1E80" w:rsidP="00BC1E80"/>
    <w:p w14:paraId="168254FB" w14:textId="742C86A4" w:rsidR="00BC1E80" w:rsidRDefault="00BC1E80" w:rsidP="00BC1E80">
      <w:pPr>
        <w:pStyle w:val="Ttulo3"/>
      </w:pPr>
      <w:r>
        <w:t>Sintomas gastrointestinais</w:t>
      </w:r>
    </w:p>
    <w:p w14:paraId="73D89705" w14:textId="5EDEAB31" w:rsidR="00BC1E80" w:rsidRPr="00BC1E80" w:rsidRDefault="00BC1E80" w:rsidP="00BC1E80">
      <w:r w:rsidRPr="00BC1E80">
        <w:t xml:space="preserve">Sintomas gastrointestinais ocorrem em 30 a 45% dos casos e também podem ser proeminentes, </w:t>
      </w:r>
      <w:r w:rsidRPr="00BC1E80">
        <w:rPr>
          <w:b/>
          <w:bCs/>
          <w:i/>
          <w:iCs/>
        </w:rPr>
        <w:t>incluindo náuseas, vômitos, diarreia e dor abdominal</w:t>
      </w:r>
      <w:r w:rsidRPr="00BC1E80">
        <w:t>, usualmente na forma de cólica.</w:t>
      </w:r>
      <w:r>
        <w:t xml:space="preserve"> </w:t>
      </w:r>
      <w:r w:rsidRPr="00BC1E80">
        <w:rPr>
          <w:i/>
          <w:iCs/>
        </w:rPr>
        <w:t>–Ana Passou mal e teve que vomitar no posto por que teve uma reação alérgica após ingerir camarão</w:t>
      </w:r>
    </w:p>
    <w:p w14:paraId="6B36326B" w14:textId="105D4B75" w:rsidR="00BC1E80" w:rsidRDefault="00BC1E80" w:rsidP="00BC1E80">
      <w:pPr>
        <w:jc w:val="center"/>
      </w:pPr>
      <w:r w:rsidRPr="00BC1E80">
        <w:drawing>
          <wp:inline distT="0" distB="0" distL="0" distR="0" wp14:anchorId="3D635421" wp14:editId="72BB23E7">
            <wp:extent cx="2608028" cy="2213605"/>
            <wp:effectExtent l="0" t="0" r="1905" b="0"/>
            <wp:docPr id="14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24B88673-4BD7-2360-7626-287CD03056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24B88673-4BD7-2360-7626-287CD03056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575" cy="22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88C4" w14:textId="4C459804" w:rsidR="00BC1E80" w:rsidRDefault="00BC1E80" w:rsidP="00BC1E80">
      <w:pPr>
        <w:jc w:val="center"/>
      </w:pPr>
    </w:p>
    <w:p w14:paraId="24E5A6CC" w14:textId="56FFC96D" w:rsidR="00BC1E80" w:rsidRDefault="00BC1E80" w:rsidP="00BC1E80">
      <w:pPr>
        <w:pStyle w:val="Ttulo3"/>
      </w:pPr>
      <w:r>
        <w:t>Sinais de alarme em pacientes com anafilaxia</w:t>
      </w:r>
    </w:p>
    <w:p w14:paraId="260A2AD5" w14:textId="3D5330D0" w:rsidR="00BC1E80" w:rsidRPr="00BC1E80" w:rsidRDefault="00BC1E80" w:rsidP="00BC1E80">
      <w:pPr>
        <w:rPr>
          <w:sz w:val="22"/>
          <w:szCs w:val="22"/>
        </w:rPr>
      </w:pPr>
      <w:r w:rsidRPr="00BC1E80">
        <w:rPr>
          <w:sz w:val="22"/>
          <w:szCs w:val="22"/>
        </w:rPr>
        <w:t>Deve-se ficar atento a alguns sinais que podem surgir em pacientes com anafilaxia, pois pode ser indícios de fatalidade eminente, são eles:</w:t>
      </w:r>
    </w:p>
    <w:p w14:paraId="3B847387" w14:textId="4E6FF995" w:rsidR="00BC1E80" w:rsidRPr="006A2905" w:rsidRDefault="00BC1E80" w:rsidP="00BC1E80">
      <w:pPr>
        <w:pStyle w:val="PargrafodaLista"/>
        <w:numPr>
          <w:ilvl w:val="0"/>
          <w:numId w:val="12"/>
        </w:numPr>
        <w:rPr>
          <w:sz w:val="18"/>
          <w:szCs w:val="18"/>
        </w:rPr>
      </w:pPr>
      <w:r w:rsidRPr="006A2905">
        <w:rPr>
          <w:sz w:val="18"/>
          <w:szCs w:val="18"/>
        </w:rPr>
        <w:t>Rápida progressão dos sintomas</w:t>
      </w:r>
    </w:p>
    <w:p w14:paraId="38C6A930" w14:textId="5A8BA86E" w:rsidR="00BC1E80" w:rsidRPr="006A2905" w:rsidRDefault="00BC1E80" w:rsidP="00BC1E80">
      <w:pPr>
        <w:pStyle w:val="PargrafodaLista"/>
        <w:numPr>
          <w:ilvl w:val="0"/>
          <w:numId w:val="12"/>
        </w:numPr>
        <w:rPr>
          <w:sz w:val="18"/>
          <w:szCs w:val="18"/>
        </w:rPr>
      </w:pPr>
      <w:r w:rsidRPr="006A2905">
        <w:rPr>
          <w:sz w:val="18"/>
          <w:szCs w:val="18"/>
        </w:rPr>
        <w:t>Estridor e dificuldade respiratória</w:t>
      </w:r>
    </w:p>
    <w:p w14:paraId="3AC9625F" w14:textId="587D3C3A" w:rsidR="00BC1E80" w:rsidRPr="006A2905" w:rsidRDefault="00BC1E80" w:rsidP="00BC1E80">
      <w:pPr>
        <w:pStyle w:val="PargrafodaLista"/>
        <w:numPr>
          <w:ilvl w:val="0"/>
          <w:numId w:val="12"/>
        </w:numPr>
        <w:rPr>
          <w:sz w:val="18"/>
          <w:szCs w:val="18"/>
        </w:rPr>
      </w:pPr>
      <w:r w:rsidRPr="006A2905">
        <w:rPr>
          <w:sz w:val="18"/>
          <w:szCs w:val="18"/>
        </w:rPr>
        <w:t>Tórax silente</w:t>
      </w:r>
    </w:p>
    <w:p w14:paraId="577C4F6A" w14:textId="6BEDDF79" w:rsidR="00BC1E80" w:rsidRPr="006A2905" w:rsidRDefault="00BC1E80" w:rsidP="00BC1E80">
      <w:pPr>
        <w:pStyle w:val="PargrafodaLista"/>
        <w:numPr>
          <w:ilvl w:val="0"/>
          <w:numId w:val="12"/>
        </w:numPr>
        <w:rPr>
          <w:sz w:val="18"/>
          <w:szCs w:val="18"/>
        </w:rPr>
      </w:pPr>
      <w:r w:rsidRPr="006A2905">
        <w:rPr>
          <w:sz w:val="18"/>
          <w:szCs w:val="18"/>
        </w:rPr>
        <w:t>Hipotensão ou choque</w:t>
      </w:r>
    </w:p>
    <w:p w14:paraId="1FA3156D" w14:textId="4B239864" w:rsidR="00BC1E80" w:rsidRPr="006A2905" w:rsidRDefault="00BC1E80" w:rsidP="00BC1E80">
      <w:pPr>
        <w:pStyle w:val="PargrafodaLista"/>
        <w:numPr>
          <w:ilvl w:val="0"/>
          <w:numId w:val="12"/>
        </w:numPr>
        <w:rPr>
          <w:sz w:val="18"/>
          <w:szCs w:val="18"/>
        </w:rPr>
      </w:pPr>
      <w:r w:rsidRPr="006A2905">
        <w:rPr>
          <w:sz w:val="18"/>
          <w:szCs w:val="18"/>
        </w:rPr>
        <w:t>Necessidade de droga vasoativa</w:t>
      </w:r>
    </w:p>
    <w:p w14:paraId="2F9A057A" w14:textId="38C46621" w:rsidR="00BC1E80" w:rsidRPr="006A2905" w:rsidRDefault="00BC1E80" w:rsidP="00BC1E80">
      <w:pPr>
        <w:pStyle w:val="PargrafodaLista"/>
        <w:numPr>
          <w:ilvl w:val="0"/>
          <w:numId w:val="12"/>
        </w:numPr>
        <w:rPr>
          <w:sz w:val="18"/>
          <w:szCs w:val="18"/>
        </w:rPr>
      </w:pPr>
      <w:r w:rsidRPr="006A2905">
        <w:rPr>
          <w:sz w:val="18"/>
          <w:szCs w:val="18"/>
        </w:rPr>
        <w:t>Arritmias malignas</w:t>
      </w:r>
    </w:p>
    <w:p w14:paraId="618EC1C6" w14:textId="320F8DE7" w:rsidR="00BC1E80" w:rsidRPr="006A2905" w:rsidRDefault="00BC1E80" w:rsidP="00BC1E80">
      <w:pPr>
        <w:pStyle w:val="PargrafodaLista"/>
        <w:numPr>
          <w:ilvl w:val="0"/>
          <w:numId w:val="12"/>
        </w:numPr>
        <w:rPr>
          <w:sz w:val="18"/>
          <w:szCs w:val="18"/>
        </w:rPr>
      </w:pPr>
      <w:r w:rsidRPr="006A2905">
        <w:rPr>
          <w:sz w:val="18"/>
          <w:szCs w:val="18"/>
        </w:rPr>
        <w:t>Náuseas ou vômitos persistentes</w:t>
      </w:r>
    </w:p>
    <w:p w14:paraId="622586D4" w14:textId="0B0A227E" w:rsidR="00BC1E80" w:rsidRDefault="006A2905" w:rsidP="006A2905">
      <w:pPr>
        <w:pStyle w:val="Ttulo2"/>
      </w:pPr>
      <w:r>
        <w:lastRenderedPageBreak/>
        <w:t>diagnostico</w:t>
      </w:r>
    </w:p>
    <w:p w14:paraId="0DEF3F8B" w14:textId="16E37234" w:rsidR="006A2905" w:rsidRDefault="006A2905" w:rsidP="006A2905">
      <w:r w:rsidRPr="006A2905">
        <w:rPr>
          <w:b/>
          <w:bCs/>
        </w:rPr>
        <w:t>O diagnóstico de anafilaxia é clínico</w:t>
      </w:r>
      <w:r>
        <w:rPr>
          <w:b/>
          <w:bCs/>
        </w:rPr>
        <w:t xml:space="preserve">. </w:t>
      </w:r>
      <w:r>
        <w:t>Porém alguns exames complementares podem ser solicitados em casos em que se tenha dúvida.</w:t>
      </w:r>
    </w:p>
    <w:p w14:paraId="281F7823" w14:textId="0E998D66" w:rsidR="006A2905" w:rsidRPr="006A2905" w:rsidRDefault="006A2905" w:rsidP="006A2905">
      <w:r w:rsidRPr="006A2905">
        <w:t xml:space="preserve">Durante os episódios de anafilaxia, os valores séricos de </w:t>
      </w:r>
      <w:r w:rsidRPr="006A2905">
        <w:rPr>
          <w:b/>
          <w:bCs/>
        </w:rPr>
        <w:t xml:space="preserve">triptase e histamina </w:t>
      </w:r>
      <w:r w:rsidRPr="006A2905">
        <w:t xml:space="preserve">ficam elevados, assim, essas dosagens podem ser úteis em quadros duvidosos. Outras investigações podem ser realizadas envolvendo a pesquisa in vitro de IgE específica, testes cutâneos ou de provocação, mas são de </w:t>
      </w:r>
      <w:r w:rsidRPr="006A2905">
        <w:t>pouca utilidade</w:t>
      </w:r>
      <w:r w:rsidRPr="006A2905">
        <w:t xml:space="preserve"> no DE.</w:t>
      </w:r>
    </w:p>
    <w:p w14:paraId="1ED9F206" w14:textId="5585CB4E" w:rsidR="006A2905" w:rsidRDefault="006A2905" w:rsidP="006A2905">
      <w:pPr>
        <w:pStyle w:val="Ttulo2"/>
      </w:pPr>
      <w:r>
        <w:t>tratamento</w:t>
      </w:r>
    </w:p>
    <w:p w14:paraId="699FF36C" w14:textId="19CA8358" w:rsidR="006A2905" w:rsidRPr="006A2905" w:rsidRDefault="006A2905" w:rsidP="006A2905">
      <w:r w:rsidRPr="006A2905">
        <w:rPr>
          <w:b/>
          <w:bCs/>
        </w:rPr>
        <w:drawing>
          <wp:anchor distT="0" distB="0" distL="114300" distR="114300" simplePos="0" relativeHeight="251672576" behindDoc="0" locked="0" layoutInCell="1" allowOverlap="1" wp14:anchorId="2FFDAB24" wp14:editId="091D7BA6">
            <wp:simplePos x="0" y="0"/>
            <wp:positionH relativeFrom="margin">
              <wp:align>right</wp:align>
            </wp:positionH>
            <wp:positionV relativeFrom="paragraph">
              <wp:posOffset>443782</wp:posOffset>
            </wp:positionV>
            <wp:extent cx="1676400" cy="2606675"/>
            <wp:effectExtent l="0" t="7938" r="0" b="0"/>
            <wp:wrapNone/>
            <wp:docPr id="16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23131D0C-2003-FA3E-4FAA-0467C761C9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23131D0C-2003-FA3E-4FAA-0467C761C9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764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2905">
        <w:t xml:space="preserve">O elemento mais importante do tratamento da anafilaxia é a </w:t>
      </w:r>
      <w:r w:rsidRPr="006A2905">
        <w:rPr>
          <w:b/>
          <w:bCs/>
        </w:rPr>
        <w:t xml:space="preserve">adrenalina. </w:t>
      </w:r>
      <w:r w:rsidRPr="006A2905">
        <w:t xml:space="preserve">A aplicação deve idealmente ser realizada na região do </w:t>
      </w:r>
      <w:r w:rsidRPr="006A2905">
        <w:rPr>
          <w:b/>
          <w:bCs/>
        </w:rPr>
        <w:t>músculo vasto lateral</w:t>
      </w:r>
      <w:r w:rsidRPr="006A2905">
        <w:t xml:space="preserve">; dessa forma, têm-se picos maiores e mais rápidos da concentração da adrenalina. </w:t>
      </w:r>
    </w:p>
    <w:p w14:paraId="08D549DA" w14:textId="5E1F3587" w:rsidR="006A2905" w:rsidRDefault="006A2905" w:rsidP="006A2905">
      <w:pPr>
        <w:rPr>
          <w:noProof/>
        </w:rPr>
      </w:pPr>
      <w:r w:rsidRPr="006A2905">
        <w:rPr>
          <w:b/>
          <w:bCs/>
        </w:rPr>
        <w:drawing>
          <wp:anchor distT="0" distB="0" distL="114300" distR="114300" simplePos="0" relativeHeight="251689984" behindDoc="0" locked="0" layoutInCell="1" allowOverlap="1" wp14:anchorId="30AB2F54" wp14:editId="6428DB64">
            <wp:simplePos x="0" y="0"/>
            <wp:positionH relativeFrom="margin">
              <wp:align>left</wp:align>
            </wp:positionH>
            <wp:positionV relativeFrom="paragraph">
              <wp:posOffset>355821</wp:posOffset>
            </wp:positionV>
            <wp:extent cx="2366178" cy="1701580"/>
            <wp:effectExtent l="0" t="0" r="0" b="0"/>
            <wp:wrapNone/>
            <wp:docPr id="1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E150D3B1-69A6-587D-72C1-FFC317BE37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E150D3B1-69A6-587D-72C1-FFC317BE37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9349" cy="1703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2905">
        <w:t xml:space="preserve">As doses recomendadas são as seguintes: </w:t>
      </w:r>
      <w:r w:rsidRPr="006A2905">
        <w:rPr>
          <w:b/>
          <w:bCs/>
        </w:rPr>
        <w:t>0,5 mg em adultos.</w:t>
      </w:r>
      <w:r w:rsidRPr="006A2905">
        <w:rPr>
          <w:noProof/>
        </w:rPr>
        <w:t xml:space="preserve"> </w:t>
      </w:r>
    </w:p>
    <w:p w14:paraId="6E5552E2" w14:textId="5A5995F2" w:rsidR="006A2905" w:rsidRDefault="006A2905" w:rsidP="006A2905">
      <w:pPr>
        <w:rPr>
          <w:noProof/>
        </w:rPr>
      </w:pPr>
    </w:p>
    <w:p w14:paraId="39DA49D8" w14:textId="064FB0A6" w:rsidR="006A2905" w:rsidRDefault="006A2905" w:rsidP="006A2905">
      <w:pPr>
        <w:rPr>
          <w:noProof/>
        </w:rPr>
      </w:pPr>
    </w:p>
    <w:p w14:paraId="3A38873A" w14:textId="25A89B62" w:rsidR="006A2905" w:rsidRDefault="006A2905" w:rsidP="006A2905">
      <w:pPr>
        <w:rPr>
          <w:noProof/>
        </w:rPr>
      </w:pPr>
    </w:p>
    <w:p w14:paraId="505DB3E0" w14:textId="35CA77D6" w:rsidR="006A2905" w:rsidRDefault="006A2905" w:rsidP="006A2905">
      <w:pPr>
        <w:rPr>
          <w:noProof/>
        </w:rPr>
      </w:pPr>
    </w:p>
    <w:p w14:paraId="33640FF4" w14:textId="20C4DADC" w:rsidR="006A2905" w:rsidRDefault="006A2905" w:rsidP="006A2905">
      <w:pPr>
        <w:rPr>
          <w:noProof/>
        </w:rPr>
      </w:pPr>
    </w:p>
    <w:p w14:paraId="3B0CEDE2" w14:textId="7A0EC746" w:rsidR="006A2905" w:rsidRDefault="006A2905" w:rsidP="006A2905">
      <w:pPr>
        <w:rPr>
          <w:noProof/>
        </w:rPr>
      </w:pPr>
    </w:p>
    <w:p w14:paraId="23FFAFE8" w14:textId="230C2B47" w:rsidR="006A2905" w:rsidRDefault="006A2905" w:rsidP="006A2905">
      <w:pPr>
        <w:rPr>
          <w:noProof/>
        </w:rPr>
      </w:pPr>
    </w:p>
    <w:p w14:paraId="24E50E06" w14:textId="0257BDBF" w:rsidR="006A2905" w:rsidRDefault="006A2905" w:rsidP="006A2905">
      <w:pPr>
        <w:rPr>
          <w:noProof/>
        </w:rPr>
      </w:pPr>
    </w:p>
    <w:p w14:paraId="7B16F963" w14:textId="3B6A433A" w:rsidR="006A2905" w:rsidRDefault="006A2905" w:rsidP="006A2905">
      <w:pPr>
        <w:rPr>
          <w:noProof/>
        </w:rPr>
      </w:pPr>
    </w:p>
    <w:p w14:paraId="76A1E700" w14:textId="3C27F086" w:rsidR="006A2905" w:rsidRDefault="006A2905" w:rsidP="006A2905">
      <w:pPr>
        <w:rPr>
          <w:noProof/>
        </w:rPr>
      </w:pPr>
    </w:p>
    <w:p w14:paraId="63431287" w14:textId="1F2ABAAF" w:rsidR="006A2905" w:rsidRDefault="006A2905" w:rsidP="006A2905">
      <w:pPr>
        <w:rPr>
          <w:noProof/>
        </w:rPr>
      </w:pPr>
    </w:p>
    <w:p w14:paraId="2CD11F69" w14:textId="3EF7F585" w:rsidR="006A2905" w:rsidRDefault="006A2905" w:rsidP="005976E1">
      <w:pPr>
        <w:rPr>
          <w:noProof/>
        </w:rPr>
      </w:pPr>
      <w:r>
        <w:rPr>
          <w:noProof/>
        </w:rPr>
        <w:t>As etapas no tratamento de anafilaxia serão citadas a seguir.</w:t>
      </w:r>
    </w:p>
    <w:p w14:paraId="6FDB317B" w14:textId="4E764AA7" w:rsidR="006A2905" w:rsidRPr="005976E1" w:rsidRDefault="006A2905" w:rsidP="005976E1">
      <w:pPr>
        <w:pStyle w:val="PargrafodaLista"/>
        <w:numPr>
          <w:ilvl w:val="0"/>
          <w:numId w:val="21"/>
        </w:numPr>
        <w:rPr>
          <w:b/>
          <w:bCs/>
          <w:i/>
          <w:iCs/>
          <w:noProof/>
        </w:rPr>
      </w:pPr>
      <w:r w:rsidRPr="005976E1">
        <w:rPr>
          <w:b/>
          <w:bCs/>
          <w:i/>
          <w:iCs/>
          <w:noProof/>
        </w:rPr>
        <w:t>Retirar o fator precipitante (alérgeno)</w:t>
      </w:r>
    </w:p>
    <w:p w14:paraId="083002AC" w14:textId="546D8BE6" w:rsidR="006A2905" w:rsidRDefault="006A2905" w:rsidP="005976E1">
      <w:pPr>
        <w:pStyle w:val="PargrafodaLista"/>
        <w:numPr>
          <w:ilvl w:val="1"/>
          <w:numId w:val="21"/>
        </w:numPr>
        <w:rPr>
          <w:noProof/>
        </w:rPr>
      </w:pPr>
      <w:r w:rsidRPr="006A2905">
        <w:rPr>
          <w:noProof/>
        </w:rPr>
        <w:t>O primeiro passo na abordagem é evitar o fator precipitante, por exemplo, interrompendo a infusão da medicação que iniciou o quadro anafilático, não havendo benefício do uso de carvão ativado.</w:t>
      </w:r>
    </w:p>
    <w:p w14:paraId="099CD1D2" w14:textId="1CAEC09D" w:rsidR="005976E1" w:rsidRPr="005976E1" w:rsidRDefault="005976E1" w:rsidP="005976E1">
      <w:pPr>
        <w:pStyle w:val="PargrafodaLista"/>
        <w:numPr>
          <w:ilvl w:val="0"/>
          <w:numId w:val="21"/>
        </w:numPr>
        <w:rPr>
          <w:b/>
          <w:bCs/>
          <w:i/>
          <w:iCs/>
          <w:noProof/>
        </w:rPr>
      </w:pPr>
      <w:r w:rsidRPr="005976E1">
        <w:rPr>
          <w:b/>
          <w:bCs/>
          <w:i/>
          <w:iCs/>
          <w:noProof/>
        </w:rPr>
        <w:t>Monitorização</w:t>
      </w:r>
    </w:p>
    <w:p w14:paraId="77201B8D" w14:textId="4A6666FF" w:rsidR="005976E1" w:rsidRPr="005976E1" w:rsidRDefault="005976E1" w:rsidP="005976E1">
      <w:pPr>
        <w:pStyle w:val="PargrafodaLista"/>
        <w:numPr>
          <w:ilvl w:val="0"/>
          <w:numId w:val="21"/>
        </w:numPr>
        <w:rPr>
          <w:b/>
          <w:bCs/>
          <w:i/>
          <w:iCs/>
          <w:noProof/>
        </w:rPr>
      </w:pPr>
      <w:r w:rsidRPr="005976E1">
        <w:rPr>
          <w:b/>
          <w:bCs/>
          <w:i/>
          <w:iCs/>
          <w:noProof/>
        </w:rPr>
        <w:t>Oxigenação até SatO2&gt;92%</w:t>
      </w:r>
    </w:p>
    <w:p w14:paraId="2C94E23B" w14:textId="77777777" w:rsidR="005976E1" w:rsidRPr="005976E1" w:rsidRDefault="005976E1" w:rsidP="005976E1">
      <w:pPr>
        <w:pStyle w:val="PargrafodaLista"/>
        <w:numPr>
          <w:ilvl w:val="0"/>
          <w:numId w:val="21"/>
        </w:numPr>
        <w:rPr>
          <w:noProof/>
        </w:rPr>
      </w:pPr>
      <w:r w:rsidRPr="005976E1">
        <w:rPr>
          <w:noProof/>
        </w:rPr>
        <w:t>Usar baixo limiar para indicação de via aérea definitiva.</w:t>
      </w:r>
    </w:p>
    <w:p w14:paraId="05230FE4" w14:textId="77777777" w:rsidR="005976E1" w:rsidRPr="005976E1" w:rsidRDefault="005976E1" w:rsidP="005976E1">
      <w:pPr>
        <w:pStyle w:val="PargrafodaLista"/>
        <w:numPr>
          <w:ilvl w:val="0"/>
          <w:numId w:val="21"/>
        </w:numPr>
        <w:rPr>
          <w:noProof/>
        </w:rPr>
      </w:pPr>
      <w:r w:rsidRPr="005976E1">
        <w:rPr>
          <w:b/>
          <w:bCs/>
          <w:i/>
          <w:iCs/>
          <w:noProof/>
        </w:rPr>
        <w:t>Adrenalina IM 0,5 mg</w:t>
      </w:r>
      <w:r w:rsidRPr="005976E1">
        <w:rPr>
          <w:noProof/>
        </w:rPr>
        <w:t>, podendo ser repetida a cada 5 minutos de acordo com a resposta.</w:t>
      </w:r>
    </w:p>
    <w:p w14:paraId="558A255E" w14:textId="0E641764" w:rsidR="005976E1" w:rsidRDefault="005976E1" w:rsidP="005976E1">
      <w:pPr>
        <w:pStyle w:val="PargrafodaLista"/>
        <w:numPr>
          <w:ilvl w:val="0"/>
          <w:numId w:val="21"/>
        </w:numPr>
        <w:rPr>
          <w:noProof/>
        </w:rPr>
      </w:pPr>
      <w:r w:rsidRPr="005976E1">
        <w:rPr>
          <w:b/>
          <w:bCs/>
          <w:noProof/>
        </w:rPr>
        <w:t>Se hipotensão, reposição volêmica</w:t>
      </w:r>
      <w:r w:rsidRPr="005976E1">
        <w:rPr>
          <w:noProof/>
        </w:rPr>
        <w:t>, 1-2 litros de solução cristaloide em 1 hora</w:t>
      </w:r>
    </w:p>
    <w:p w14:paraId="2EEC1A7C" w14:textId="77777777" w:rsidR="005976E1" w:rsidRPr="005976E1" w:rsidRDefault="005976E1" w:rsidP="005976E1">
      <w:pPr>
        <w:pStyle w:val="PargrafodaLista"/>
        <w:numPr>
          <w:ilvl w:val="0"/>
          <w:numId w:val="21"/>
        </w:numPr>
        <w:rPr>
          <w:noProof/>
        </w:rPr>
      </w:pPr>
      <w:r w:rsidRPr="005976E1">
        <w:rPr>
          <w:noProof/>
        </w:rPr>
        <w:t xml:space="preserve">Se não houver resposta à adrenalina IM: </w:t>
      </w:r>
      <w:r w:rsidRPr="005976E1">
        <w:rPr>
          <w:b/>
          <w:bCs/>
          <w:noProof/>
        </w:rPr>
        <w:t>Adrenalina EV: Bolus: 0,1 mg</w:t>
      </w:r>
    </w:p>
    <w:p w14:paraId="30E21A2A" w14:textId="252026CF" w:rsidR="005976E1" w:rsidRDefault="005976E1" w:rsidP="005976E1">
      <w:pPr>
        <w:pStyle w:val="PargrafodaLista"/>
        <w:numPr>
          <w:ilvl w:val="0"/>
          <w:numId w:val="21"/>
        </w:numPr>
        <w:rPr>
          <w:noProof/>
        </w:rPr>
      </w:pPr>
      <w:r w:rsidRPr="005976E1">
        <w:rPr>
          <w:b/>
          <w:bCs/>
          <w:noProof/>
        </w:rPr>
        <w:t>Manutenção:</w:t>
      </w:r>
      <w:r w:rsidRPr="005976E1">
        <w:rPr>
          <w:noProof/>
        </w:rPr>
        <w:t xml:space="preserve"> adrenalina colocando adrenalina 1 mg em 500 mL de solução fisiológica em uma infusão inicial de 0,5 a 2 mL/min, titulando-se a dose conforme o efeito. Considerar associação de vasopressores se choque refratário.</w:t>
      </w:r>
    </w:p>
    <w:p w14:paraId="73FF0282" w14:textId="77777777" w:rsidR="005976E1" w:rsidRPr="005976E1" w:rsidRDefault="005976E1" w:rsidP="005976E1">
      <w:pPr>
        <w:pStyle w:val="PargrafodaLista"/>
        <w:numPr>
          <w:ilvl w:val="0"/>
          <w:numId w:val="21"/>
        </w:numPr>
        <w:rPr>
          <w:noProof/>
        </w:rPr>
      </w:pPr>
      <w:r w:rsidRPr="005976E1">
        <w:rPr>
          <w:b/>
          <w:bCs/>
          <w:noProof/>
        </w:rPr>
        <w:t>Corticoide para evitar fase tardia</w:t>
      </w:r>
      <w:r w:rsidRPr="005976E1">
        <w:rPr>
          <w:noProof/>
        </w:rPr>
        <w:t>: metilprednisolona 1-2 mg/kg em crianças, até dose máxima de 125 mg, ou hidrocortisona 200 a 300 mg por via intravenosa (5 a 10 mg/kg em crianças até dose máxima de 300 mg). Na alta (pacientes com manifestações cutâneas persistentes), manter prednisona 40 mg por 3 a 5 dias.</w:t>
      </w:r>
    </w:p>
    <w:p w14:paraId="2EFBB33A" w14:textId="77777777" w:rsidR="005976E1" w:rsidRPr="005976E1" w:rsidRDefault="005976E1" w:rsidP="005976E1">
      <w:pPr>
        <w:pStyle w:val="PargrafodaLista"/>
        <w:numPr>
          <w:ilvl w:val="0"/>
          <w:numId w:val="21"/>
        </w:numPr>
        <w:rPr>
          <w:noProof/>
        </w:rPr>
      </w:pPr>
      <w:r w:rsidRPr="005976E1">
        <w:rPr>
          <w:noProof/>
        </w:rPr>
        <w:t>Considerar: difenidramina 25 a 50 mg IV; ranitidina 50 mg IV</w:t>
      </w:r>
    </w:p>
    <w:p w14:paraId="4C02A805" w14:textId="77777777" w:rsidR="005976E1" w:rsidRPr="005976E1" w:rsidRDefault="005976E1" w:rsidP="005976E1">
      <w:pPr>
        <w:pStyle w:val="PargrafodaLista"/>
        <w:numPr>
          <w:ilvl w:val="0"/>
          <w:numId w:val="21"/>
        </w:numPr>
        <w:rPr>
          <w:noProof/>
        </w:rPr>
      </w:pPr>
      <w:r w:rsidRPr="005976E1">
        <w:rPr>
          <w:b/>
          <w:bCs/>
          <w:noProof/>
        </w:rPr>
        <w:lastRenderedPageBreak/>
        <w:t>Se broncoespasmo: usar broncodilatadores</w:t>
      </w:r>
      <w:r w:rsidRPr="005976E1">
        <w:rPr>
          <w:noProof/>
        </w:rPr>
        <w:t xml:space="preserve"> como fenoterol 100-250 μg (Inalatório) e ipratrópio 250-500 μg (Inalatório).</w:t>
      </w:r>
    </w:p>
    <w:p w14:paraId="5D7D8AA5" w14:textId="77777777" w:rsidR="005976E1" w:rsidRDefault="005976E1" w:rsidP="005976E1">
      <w:pPr>
        <w:pStyle w:val="PargrafodaLista"/>
        <w:ind w:left="1429" w:firstLine="0"/>
        <w:rPr>
          <w:noProof/>
        </w:rPr>
      </w:pPr>
    </w:p>
    <w:p w14:paraId="18B8FF03" w14:textId="490A7081" w:rsidR="006A2905" w:rsidRDefault="006A2905" w:rsidP="006A2905">
      <w:pPr>
        <w:jc w:val="center"/>
      </w:pPr>
    </w:p>
    <w:p w14:paraId="1D84A85D" w14:textId="77777777" w:rsidR="006A2905" w:rsidRPr="006A2905" w:rsidRDefault="006A2905" w:rsidP="006A2905">
      <w:pPr>
        <w:jc w:val="center"/>
      </w:pPr>
    </w:p>
    <w:sectPr w:rsidR="006A2905" w:rsidRPr="006A29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uilherme Lopes" w:date="2022-11-17T09:12:00Z" w:initials="GL">
    <w:p w14:paraId="62D87589" w14:textId="061AD7C7" w:rsidR="00BC1E80" w:rsidRDefault="00BC1E80">
      <w:pPr>
        <w:pStyle w:val="Textodecomentrio"/>
      </w:pPr>
      <w:r>
        <w:rPr>
          <w:rStyle w:val="Refdecomentrio"/>
        </w:rPr>
        <w:annotationRef/>
      </w:r>
      <w:r>
        <w:t>O que é broncoespasmo</w:t>
      </w:r>
    </w:p>
  </w:comment>
  <w:comment w:id="1" w:author="Guilherme Lopes" w:date="2022-11-17T09:14:00Z" w:initials="GL">
    <w:p w14:paraId="6CA27B09" w14:textId="77777777" w:rsidR="00BC1E80" w:rsidRDefault="00BC1E80">
      <w:pPr>
        <w:pStyle w:val="Textodecomentrio"/>
      </w:pPr>
      <w:r>
        <w:rPr>
          <w:rStyle w:val="Refdecomentrio"/>
        </w:rPr>
        <w:annotationRef/>
      </w:r>
      <w:r>
        <w:t>O que é síncope</w:t>
      </w:r>
    </w:p>
    <w:p w14:paraId="24216F0E" w14:textId="7165E22B" w:rsidR="00BC1E80" w:rsidRDefault="00BC1E80" w:rsidP="00BC1E80">
      <w:pPr>
        <w:pStyle w:val="Textodecomentrio"/>
        <w:ind w:firstLine="0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D87589" w15:done="0"/>
  <w15:commentEx w15:paraId="24216F0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07967" w16cex:dateUtc="2022-11-17T12:12:00Z"/>
  <w16cex:commentExtensible w16cex:durableId="272079E0" w16cex:dateUtc="2022-11-17T12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D87589" w16cid:durableId="27207967"/>
  <w16cid:commentId w16cid:paraId="24216F0E" w16cid:durableId="272079E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34E"/>
    <w:multiLevelType w:val="hybridMultilevel"/>
    <w:tmpl w:val="D1E01444"/>
    <w:lvl w:ilvl="0" w:tplc="C35650C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507AE63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9BBE57B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CC4E53B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C140428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DA70B10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90BAD73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FCD882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FCA85E4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1" w15:restartNumberingAfterBreak="0">
    <w:nsid w:val="03DE7811"/>
    <w:multiLevelType w:val="hybridMultilevel"/>
    <w:tmpl w:val="030C4240"/>
    <w:lvl w:ilvl="0" w:tplc="FF38AB7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6DB4F46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63983CC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4574E8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E43A16A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62D6291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002037A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25FA2DA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DD10719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2" w15:restartNumberingAfterBreak="0">
    <w:nsid w:val="09F82AEA"/>
    <w:multiLevelType w:val="hybridMultilevel"/>
    <w:tmpl w:val="208CFCF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5643FF"/>
    <w:multiLevelType w:val="hybridMultilevel"/>
    <w:tmpl w:val="3DF40B2E"/>
    <w:lvl w:ilvl="0" w:tplc="D8CCC71E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7917F0"/>
    <w:multiLevelType w:val="hybridMultilevel"/>
    <w:tmpl w:val="F198180C"/>
    <w:lvl w:ilvl="0" w:tplc="3724BE9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AD5D49"/>
    <w:multiLevelType w:val="hybridMultilevel"/>
    <w:tmpl w:val="EB42E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CF0275"/>
    <w:multiLevelType w:val="hybridMultilevel"/>
    <w:tmpl w:val="0E80AE38"/>
    <w:lvl w:ilvl="0" w:tplc="3724BE9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EB7F29"/>
    <w:multiLevelType w:val="hybridMultilevel"/>
    <w:tmpl w:val="17009C90"/>
    <w:lvl w:ilvl="0" w:tplc="E562900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6A12B21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2286B56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F3049DD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74C4207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2B1E772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15D8847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1B58529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E54C3F3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8" w15:restartNumberingAfterBreak="0">
    <w:nsid w:val="2D4856B2"/>
    <w:multiLevelType w:val="hybridMultilevel"/>
    <w:tmpl w:val="7C901DA0"/>
    <w:lvl w:ilvl="0" w:tplc="C2A4834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CC8E0A7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13EE077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9F7A8DB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4B2AFB7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7442847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36EA331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59FECBF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28DE381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9" w15:restartNumberingAfterBreak="0">
    <w:nsid w:val="310A17D1"/>
    <w:multiLevelType w:val="hybridMultilevel"/>
    <w:tmpl w:val="A280804A"/>
    <w:lvl w:ilvl="0" w:tplc="23141CE4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42A535C" w:tentative="1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B863936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7A24F50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4C00B5E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2B2D524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8A488B2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33277F4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12083B0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377969DA"/>
    <w:multiLevelType w:val="hybridMultilevel"/>
    <w:tmpl w:val="FBBE29BC"/>
    <w:lvl w:ilvl="0" w:tplc="8DD0DE2C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06D6245"/>
    <w:multiLevelType w:val="hybridMultilevel"/>
    <w:tmpl w:val="77E866A4"/>
    <w:lvl w:ilvl="0" w:tplc="2B62B12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8EFAAE4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DBF043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F8A2E76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15500B4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0D40A51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08D2A37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FBAC8B6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D890A97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12" w15:restartNumberingAfterBreak="0">
    <w:nsid w:val="4374017D"/>
    <w:multiLevelType w:val="hybridMultilevel"/>
    <w:tmpl w:val="AD68FBFE"/>
    <w:lvl w:ilvl="0" w:tplc="C9A43B2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6A1E93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692A0EF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8F6C901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77BE31C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B680C32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03BC96B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FEAA817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5CD23D2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13" w15:restartNumberingAfterBreak="0">
    <w:nsid w:val="53D1427C"/>
    <w:multiLevelType w:val="hybridMultilevel"/>
    <w:tmpl w:val="9C8AFC6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B0D4268"/>
    <w:multiLevelType w:val="multilevel"/>
    <w:tmpl w:val="91E218FC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472" w:hanging="1800"/>
      </w:pPr>
      <w:rPr>
        <w:rFonts w:hint="default"/>
      </w:rPr>
    </w:lvl>
  </w:abstractNum>
  <w:abstractNum w:abstractNumId="15" w15:restartNumberingAfterBreak="0">
    <w:nsid w:val="5BB5767F"/>
    <w:multiLevelType w:val="hybridMultilevel"/>
    <w:tmpl w:val="65CA5D82"/>
    <w:lvl w:ilvl="0" w:tplc="B18E04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7482F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29C325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30E07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8217E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2387EC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E878B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E25E4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CDAE0F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65333414"/>
    <w:multiLevelType w:val="hybridMultilevel"/>
    <w:tmpl w:val="5E4E602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F9A3C71"/>
    <w:multiLevelType w:val="multilevel"/>
    <w:tmpl w:val="0C5E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E86A8C"/>
    <w:multiLevelType w:val="hybridMultilevel"/>
    <w:tmpl w:val="60F62F54"/>
    <w:lvl w:ilvl="0" w:tplc="136A427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FFFFFF" w:themeColor="background1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70E3358"/>
    <w:multiLevelType w:val="multilevel"/>
    <w:tmpl w:val="E158A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885D7C"/>
    <w:multiLevelType w:val="hybridMultilevel"/>
    <w:tmpl w:val="400EBE88"/>
    <w:lvl w:ilvl="0" w:tplc="CEC0228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81573056">
    <w:abstractNumId w:val="19"/>
  </w:num>
  <w:num w:numId="2" w16cid:durableId="1555432319">
    <w:abstractNumId w:val="17"/>
  </w:num>
  <w:num w:numId="3" w16cid:durableId="926889910">
    <w:abstractNumId w:val="5"/>
  </w:num>
  <w:num w:numId="4" w16cid:durableId="15931382">
    <w:abstractNumId w:val="18"/>
  </w:num>
  <w:num w:numId="5" w16cid:durableId="976493458">
    <w:abstractNumId w:val="16"/>
  </w:num>
  <w:num w:numId="6" w16cid:durableId="1960331076">
    <w:abstractNumId w:val="6"/>
  </w:num>
  <w:num w:numId="7" w16cid:durableId="778841477">
    <w:abstractNumId w:val="1"/>
  </w:num>
  <w:num w:numId="8" w16cid:durableId="42406477">
    <w:abstractNumId w:val="9"/>
  </w:num>
  <w:num w:numId="9" w16cid:durableId="301235314">
    <w:abstractNumId w:val="12"/>
  </w:num>
  <w:num w:numId="10" w16cid:durableId="2003577452">
    <w:abstractNumId w:val="11"/>
  </w:num>
  <w:num w:numId="11" w16cid:durableId="1770470443">
    <w:abstractNumId w:val="7"/>
  </w:num>
  <w:num w:numId="12" w16cid:durableId="185411493">
    <w:abstractNumId w:val="4"/>
  </w:num>
  <w:num w:numId="13" w16cid:durableId="968321965">
    <w:abstractNumId w:val="0"/>
  </w:num>
  <w:num w:numId="14" w16cid:durableId="1770352334">
    <w:abstractNumId w:val="8"/>
  </w:num>
  <w:num w:numId="15" w16cid:durableId="2145151679">
    <w:abstractNumId w:val="3"/>
  </w:num>
  <w:num w:numId="16" w16cid:durableId="1213692386">
    <w:abstractNumId w:val="15"/>
  </w:num>
  <w:num w:numId="17" w16cid:durableId="343360017">
    <w:abstractNumId w:val="10"/>
  </w:num>
  <w:num w:numId="18" w16cid:durableId="2085758630">
    <w:abstractNumId w:val="20"/>
  </w:num>
  <w:num w:numId="19" w16cid:durableId="2079788045">
    <w:abstractNumId w:val="14"/>
  </w:num>
  <w:num w:numId="20" w16cid:durableId="43798139">
    <w:abstractNumId w:val="2"/>
  </w:num>
  <w:num w:numId="21" w16cid:durableId="2012023980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uilherme Lopes">
    <w15:presenceInfo w15:providerId="Windows Live" w15:userId="e32959c262e7dc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B68"/>
    <w:rsid w:val="002D265B"/>
    <w:rsid w:val="005976E1"/>
    <w:rsid w:val="006A2905"/>
    <w:rsid w:val="00731364"/>
    <w:rsid w:val="009979DC"/>
    <w:rsid w:val="00BC1E80"/>
    <w:rsid w:val="00DD2BD2"/>
    <w:rsid w:val="00E170BB"/>
    <w:rsid w:val="00F529AB"/>
    <w:rsid w:val="00FF0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547D8AA"/>
  <w15:chartTrackingRefBased/>
  <w15:docId w15:val="{07E72102-B418-441D-BDC6-F7A139CDF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9AB"/>
    <w:pPr>
      <w:spacing w:before="0" w:after="0" w:line="24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F0B68"/>
    <w:pPr>
      <w:pBdr>
        <w:top w:val="single" w:sz="24" w:space="0" w:color="AD84C6" w:themeColor="accent1"/>
        <w:left w:val="single" w:sz="24" w:space="0" w:color="AD84C6" w:themeColor="accent1"/>
        <w:bottom w:val="single" w:sz="24" w:space="0" w:color="AD84C6" w:themeColor="accent1"/>
        <w:right w:val="single" w:sz="24" w:space="0" w:color="AD84C6" w:themeColor="accent1"/>
      </w:pBdr>
      <w:shd w:val="clear" w:color="auto" w:fill="AD84C6" w:themeFill="accent1"/>
      <w:spacing w:after="240"/>
      <w:outlineLvl w:val="0"/>
    </w:pPr>
    <w:rPr>
      <w:caps/>
      <w:color w:val="FFFFFF" w:themeColor="background1"/>
      <w:spacing w:val="15"/>
      <w:sz w:val="3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F0B68"/>
    <w:pPr>
      <w:pBdr>
        <w:top w:val="single" w:sz="24" w:space="0" w:color="EEE6F3" w:themeColor="accent1" w:themeTint="33"/>
        <w:left w:val="single" w:sz="24" w:space="0" w:color="EEE6F3" w:themeColor="accent1" w:themeTint="33"/>
        <w:bottom w:val="single" w:sz="24" w:space="0" w:color="EEE6F3" w:themeColor="accent1" w:themeTint="33"/>
        <w:right w:val="single" w:sz="24" w:space="0" w:color="EEE6F3" w:themeColor="accent1" w:themeTint="33"/>
      </w:pBdr>
      <w:shd w:val="clear" w:color="auto" w:fill="EEE6F3" w:themeFill="accent1" w:themeFillTint="33"/>
      <w:spacing w:before="240" w:after="12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C1E80"/>
    <w:pPr>
      <w:pBdr>
        <w:top w:val="single" w:sz="6" w:space="2" w:color="AD84C6" w:themeColor="accent1"/>
      </w:pBdr>
      <w:spacing w:before="240" w:after="120"/>
      <w:outlineLvl w:val="2"/>
    </w:pPr>
    <w:rPr>
      <w:caps/>
      <w:color w:val="593470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529AB"/>
    <w:pPr>
      <w:pBdr>
        <w:top w:val="dotted" w:sz="6" w:space="2" w:color="AD84C6" w:themeColor="accent1"/>
      </w:pBdr>
      <w:spacing w:after="120"/>
      <w:outlineLvl w:val="3"/>
    </w:pPr>
    <w:rPr>
      <w:caps/>
      <w:color w:val="864EA8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529AB"/>
    <w:pPr>
      <w:pBdr>
        <w:bottom w:val="single" w:sz="6" w:space="1" w:color="AD84C6" w:themeColor="accent1"/>
      </w:pBdr>
      <w:spacing w:before="200"/>
      <w:outlineLvl w:val="4"/>
    </w:pPr>
    <w:rPr>
      <w:caps/>
      <w:color w:val="864EA8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529AB"/>
    <w:pPr>
      <w:pBdr>
        <w:bottom w:val="dotted" w:sz="6" w:space="1" w:color="AD84C6" w:themeColor="accent1"/>
      </w:pBdr>
      <w:spacing w:before="200"/>
      <w:outlineLvl w:val="5"/>
    </w:pPr>
    <w:rPr>
      <w:caps/>
      <w:color w:val="864EA8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529AB"/>
    <w:pPr>
      <w:spacing w:before="200"/>
      <w:outlineLvl w:val="6"/>
    </w:pPr>
    <w:rPr>
      <w:caps/>
      <w:color w:val="864EA8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529A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529A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F0B68"/>
    <w:rPr>
      <w:caps/>
      <w:color w:val="FFFFFF" w:themeColor="background1"/>
      <w:spacing w:val="15"/>
      <w:sz w:val="32"/>
      <w:szCs w:val="22"/>
      <w:shd w:val="clear" w:color="auto" w:fill="AD84C6" w:themeFill="accent1"/>
    </w:rPr>
  </w:style>
  <w:style w:type="character" w:customStyle="1" w:styleId="Ttulo2Char">
    <w:name w:val="Título 2 Char"/>
    <w:basedOn w:val="Fontepargpadro"/>
    <w:link w:val="Ttulo2"/>
    <w:uiPriority w:val="9"/>
    <w:rsid w:val="00FF0B68"/>
    <w:rPr>
      <w:caps/>
      <w:spacing w:val="15"/>
      <w:sz w:val="24"/>
      <w:shd w:val="clear" w:color="auto" w:fill="EEE6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rsid w:val="00BC1E80"/>
    <w:rPr>
      <w:caps/>
      <w:color w:val="593470" w:themeColor="accent1" w:themeShade="7F"/>
      <w:spacing w:val="15"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529AB"/>
    <w:rPr>
      <w:caps/>
      <w:color w:val="864EA8" w:themeColor="accent1" w:themeShade="BF"/>
      <w:spacing w:val="10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529AB"/>
    <w:rPr>
      <w:caps/>
      <w:color w:val="864EA8" w:themeColor="accent1" w:themeShade="BF"/>
      <w:spacing w:val="10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529AB"/>
    <w:rPr>
      <w:caps/>
      <w:color w:val="864EA8" w:themeColor="accent1" w:themeShade="BF"/>
      <w:spacing w:val="10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529AB"/>
    <w:rPr>
      <w:caps/>
      <w:color w:val="864EA8" w:themeColor="accent1" w:themeShade="BF"/>
      <w:spacing w:val="10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529AB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529AB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529AB"/>
    <w:rPr>
      <w:b/>
      <w:bCs/>
      <w:color w:val="864EA8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F529AB"/>
    <w:rPr>
      <w:rFonts w:asciiTheme="majorHAnsi" w:eastAsiaTheme="majorEastAsia" w:hAnsiTheme="majorHAnsi" w:cstheme="majorBidi"/>
      <w:caps/>
      <w:color w:val="AD84C6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529AB"/>
    <w:rPr>
      <w:rFonts w:asciiTheme="majorHAnsi" w:eastAsiaTheme="majorEastAsia" w:hAnsiTheme="majorHAnsi" w:cstheme="majorBidi"/>
      <w:caps/>
      <w:color w:val="AD84C6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529A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F529AB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F529AB"/>
    <w:rPr>
      <w:b/>
      <w:bCs/>
    </w:rPr>
  </w:style>
  <w:style w:type="character" w:styleId="nfase">
    <w:name w:val="Emphasis"/>
    <w:uiPriority w:val="20"/>
    <w:qFormat/>
    <w:rsid w:val="00F529AB"/>
    <w:rPr>
      <w:caps/>
      <w:color w:val="593470" w:themeColor="accent1" w:themeShade="7F"/>
      <w:spacing w:val="5"/>
    </w:rPr>
  </w:style>
  <w:style w:type="paragraph" w:styleId="SemEspaamento">
    <w:name w:val="No Spacing"/>
    <w:uiPriority w:val="1"/>
    <w:qFormat/>
    <w:rsid w:val="00F529AB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F529A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F529AB"/>
    <w:rPr>
      <w:i/>
      <w:iCs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F529AB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529AB"/>
    <w:pPr>
      <w:spacing w:before="240" w:after="240"/>
      <w:ind w:left="1080" w:right="1080"/>
      <w:jc w:val="center"/>
    </w:pPr>
    <w:rPr>
      <w:color w:val="AD84C6" w:themeColor="accent1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529AB"/>
    <w:rPr>
      <w:color w:val="AD84C6" w:themeColor="accent1"/>
      <w:sz w:val="24"/>
      <w:szCs w:val="24"/>
    </w:rPr>
  </w:style>
  <w:style w:type="character" w:styleId="nfaseSutil">
    <w:name w:val="Subtle Emphasis"/>
    <w:uiPriority w:val="19"/>
    <w:qFormat/>
    <w:rsid w:val="00F529AB"/>
    <w:rPr>
      <w:i/>
      <w:iCs/>
      <w:color w:val="593470" w:themeColor="accent1" w:themeShade="7F"/>
    </w:rPr>
  </w:style>
  <w:style w:type="character" w:styleId="nfaseIntensa">
    <w:name w:val="Intense Emphasis"/>
    <w:uiPriority w:val="21"/>
    <w:qFormat/>
    <w:rsid w:val="00F529AB"/>
    <w:rPr>
      <w:b/>
      <w:bCs/>
      <w:caps/>
      <w:color w:val="593470" w:themeColor="accent1" w:themeShade="7F"/>
      <w:spacing w:val="10"/>
    </w:rPr>
  </w:style>
  <w:style w:type="character" w:styleId="RefernciaSutil">
    <w:name w:val="Subtle Reference"/>
    <w:uiPriority w:val="31"/>
    <w:qFormat/>
    <w:rsid w:val="00F529AB"/>
    <w:rPr>
      <w:b/>
      <w:bCs/>
      <w:color w:val="AD84C6" w:themeColor="accent1"/>
    </w:rPr>
  </w:style>
  <w:style w:type="character" w:styleId="RefernciaIntensa">
    <w:name w:val="Intense Reference"/>
    <w:uiPriority w:val="32"/>
    <w:qFormat/>
    <w:rsid w:val="00F529AB"/>
    <w:rPr>
      <w:b/>
      <w:bCs/>
      <w:i/>
      <w:iCs/>
      <w:caps/>
      <w:color w:val="AD84C6" w:themeColor="accent1"/>
    </w:rPr>
  </w:style>
  <w:style w:type="character" w:styleId="TtulodoLivro">
    <w:name w:val="Book Title"/>
    <w:uiPriority w:val="33"/>
    <w:qFormat/>
    <w:rsid w:val="00F529AB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529AB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FF0B68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table" w:styleId="Tabelacomgrade">
    <w:name w:val="Table Grid"/>
    <w:basedOn w:val="Tabelanormal"/>
    <w:uiPriority w:val="39"/>
    <w:rsid w:val="00DD2BD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4">
    <w:name w:val="Grid Table 4 Accent 4"/>
    <w:basedOn w:val="Tabelanormal"/>
    <w:uiPriority w:val="49"/>
    <w:rsid w:val="00DD2BD2"/>
    <w:pPr>
      <w:spacing w:after="0" w:line="240" w:lineRule="auto"/>
    </w:pPr>
    <w:tblPr>
      <w:tblStyleRowBandSize w:val="1"/>
      <w:tblStyleColBandSize w:val="1"/>
      <w:tblBorders>
        <w:top w:val="single" w:sz="4" w:space="0" w:color="A5C0CF" w:themeColor="accent4" w:themeTint="99"/>
        <w:left w:val="single" w:sz="4" w:space="0" w:color="A5C0CF" w:themeColor="accent4" w:themeTint="99"/>
        <w:bottom w:val="single" w:sz="4" w:space="0" w:color="A5C0CF" w:themeColor="accent4" w:themeTint="99"/>
        <w:right w:val="single" w:sz="4" w:space="0" w:color="A5C0CF" w:themeColor="accent4" w:themeTint="99"/>
        <w:insideH w:val="single" w:sz="4" w:space="0" w:color="A5C0CF" w:themeColor="accent4" w:themeTint="99"/>
        <w:insideV w:val="single" w:sz="4" w:space="0" w:color="A5C0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97AF" w:themeColor="accent4"/>
          <w:left w:val="single" w:sz="4" w:space="0" w:color="6997AF" w:themeColor="accent4"/>
          <w:bottom w:val="single" w:sz="4" w:space="0" w:color="6997AF" w:themeColor="accent4"/>
          <w:right w:val="single" w:sz="4" w:space="0" w:color="6997AF" w:themeColor="accent4"/>
          <w:insideH w:val="nil"/>
          <w:insideV w:val="nil"/>
        </w:tcBorders>
        <w:shd w:val="clear" w:color="auto" w:fill="6997AF" w:themeFill="accent4"/>
      </w:tcPr>
    </w:tblStylePr>
    <w:tblStylePr w:type="lastRow">
      <w:rPr>
        <w:b/>
        <w:bCs/>
      </w:rPr>
      <w:tblPr/>
      <w:tcPr>
        <w:tcBorders>
          <w:top w:val="double" w:sz="4" w:space="0" w:color="6997A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BC1E8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C1E80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C1E80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C1E8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C1E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194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50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73802">
          <w:marLeft w:val="214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4039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28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16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27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023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53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8/08/relationships/commentsExtensible" Target="commentsExtensible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microsoft.com/office/2016/09/relationships/commentsIds" Target="commentsIds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1/relationships/commentsExtended" Target="commentsExtended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comments" Target="comments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Íon - Sala da Diretoria">
  <a:themeElements>
    <a:clrScheme name="Violeta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Arial 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Íon - Sala da Diretoria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1203</Words>
  <Characters>6501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Lopes</dc:creator>
  <cp:keywords/>
  <dc:description/>
  <cp:lastModifiedBy>Guilherme Lopes</cp:lastModifiedBy>
  <cp:revision>2</cp:revision>
  <dcterms:created xsi:type="dcterms:W3CDTF">2022-11-17T12:37:00Z</dcterms:created>
  <dcterms:modified xsi:type="dcterms:W3CDTF">2022-11-17T12:37:00Z</dcterms:modified>
</cp:coreProperties>
</file>