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Terms and Conditions of EndoNeRF Sample Dataset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Due to privacy and ethical issue of real in-vivo data, please agree to the following terms and conditions before we offer you the sample dataset.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1. Researcher must give appropriate credit and citation to our data.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2. Researcher should not use the data for any commercial purposes.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3. Researcher is not allowed to edit, remix, transform, redistribute, or build upon any material in this dataset.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4. Researcher may provide research associates and colleagues with access to the data only if they first agree to be bound by these terms and conditions.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5. We reserve the right to terminate the researcher's access to the data once we find any non-ethical or inappropriate use.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Please use the following citation if you use the data: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0"/>
          <w:szCs w:val="20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shd w:fill="efefef" w:val="clear"/>
          <w:rtl w:val="0"/>
        </w:rPr>
        <w:t xml:space="preserve">@inproceedings{wang2022neural,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0"/>
          <w:szCs w:val="20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shd w:fill="efefef" w:val="clear"/>
          <w:rtl w:val="0"/>
        </w:rPr>
        <w:t xml:space="preserve">  title={Neural Rendering for Stereo 3D Reconstruction of Deformable Tissues in Robotic Surgery},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0"/>
          <w:szCs w:val="20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shd w:fill="efefef" w:val="clear"/>
          <w:rtl w:val="0"/>
        </w:rPr>
        <w:t xml:space="preserve">  author={Wang, Yuehao and Long, Yonghao and Fan, Siu Hin and Dou, Qi},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0"/>
          <w:szCs w:val="20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shd w:fill="efefef" w:val="clear"/>
          <w:rtl w:val="0"/>
        </w:rPr>
        <w:t xml:space="preserve">  booktitle={International Conference on Medical Image Computing and Computer-Assisted Intervention},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0"/>
          <w:szCs w:val="20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shd w:fill="efefef" w:val="clear"/>
          <w:rtl w:val="0"/>
        </w:rPr>
        <w:t xml:space="preserve">  pages={431--441},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0"/>
          <w:szCs w:val="20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shd w:fill="efefef" w:val="clear"/>
          <w:rtl w:val="0"/>
        </w:rPr>
        <w:t xml:space="preserve">  year={2022},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0"/>
          <w:szCs w:val="20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shd w:fill="efefef" w:val="clear"/>
          <w:rtl w:val="0"/>
        </w:rPr>
        <w:t xml:space="preserve">  organization={Springer}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0"/>
          <w:szCs w:val="20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If you have any questions, please contact us via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yhwang21@cse.cuhk.edu.hk</w:t>
        </w:r>
      </w:hyperlink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hwang21@cse.cuhk.edu.h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