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30.0" w:type="dxa"/>
        <w:jc w:val="left"/>
        <w:tblInd w:w="-100.0" w:type="dxa"/>
        <w:tblLayout w:type="fixed"/>
        <w:tblLook w:val="0600"/>
      </w:tblPr>
      <w:tblGrid>
        <w:gridCol w:w="5370"/>
        <w:gridCol w:w="3960"/>
        <w:tblGridChange w:id="0">
          <w:tblGrid>
            <w:gridCol w:w="5370"/>
            <w:gridCol w:w="3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200" w:firstLine="1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Acompanhamento - SisComp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200" w:firstLine="1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Relatório: 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200" w:firstLine="1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Organização: UFG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200" w:firstLine="1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05/02/2016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SisComp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141823"/>
          <w:sz w:val="36"/>
          <w:szCs w:val="36"/>
          <w:highlight w:val="white"/>
          <w:rtl w:val="0"/>
        </w:rPr>
        <w:t xml:space="preserve">RELATÓRIO DE MARCO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Interessados: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41823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41823"/>
          <w:sz w:val="26"/>
          <w:szCs w:val="26"/>
          <w:highlight w:val="white"/>
        </w:rPr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Quais atividades planejadas foram completadas?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41823"/>
          <w:sz w:val="26"/>
          <w:szCs w:val="26"/>
          <w:highlight w:val="white"/>
        </w:rPr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Quais atividades planejadas não foram completadas?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41823"/>
          <w:sz w:val="26"/>
          <w:szCs w:val="26"/>
          <w:highlight w:val="white"/>
        </w:rPr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Quais atividades não planejadas foram completadas?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41823"/>
          <w:sz w:val="26"/>
          <w:szCs w:val="26"/>
          <w:highlight w:val="white"/>
        </w:rPr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Quais atividades não planejadas não foram completadas?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Entregáveis: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45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380"/>
        <w:gridCol w:w="5175"/>
        <w:tblGridChange w:id="0">
          <w:tblGrid>
            <w:gridCol w:w="2895"/>
            <w:gridCol w:w="1380"/>
            <w:gridCol w:w="517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Entregável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41823"/>
          <w:sz w:val="26"/>
          <w:szCs w:val="26"/>
          <w:highlight w:val="white"/>
          <w:rtl w:val="0"/>
        </w:rPr>
        <w:t xml:space="preserve">Assinatura: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325"/>
        <w:gridCol w:w="4500"/>
        <w:tblGridChange w:id="0">
          <w:tblGrid>
            <w:gridCol w:w="2535"/>
            <w:gridCol w:w="2325"/>
            <w:gridCol w:w="450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41823"/>
                <w:sz w:val="26"/>
                <w:szCs w:val="26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2556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/Relationships>
</file>