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manutenção, definindo suas prioridades e pontuação para cada item levando em consideração o ritmo da equipe e se atentando a não ultrapassar esse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 protegendo assim a capacidade de desenvolvimento do time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Conferência das atividades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o entendimento da equipe de desenvolvimento com a do scrum master simultaneamente ao desenvolvimento, tirando dúvidas ou recebendo orientação para garantir aderência entre o que foi planejado e o que está sendo executado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Conferência entre o que foi realizado em paralelo com o que foi planejado no sprint planning, sendo apresentadas motivos caso tenha havido discordâncias para que sejam melhorados para o próximo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o que foi desenvolvido de forma correta, o que não foi desenvolvido corretamente e o que não pôde ser implementado, apresentando as razões para cada categorização, gerando assim conhecimento ao time acerca das atividades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