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Fonts w:cs="Arial" w:ascii="Arial" w:hAnsi="Arial"/>
          <w:b/>
          <w:bCs/>
          <w:sz w:val="24"/>
          <w:szCs w:val="24"/>
        </w:rPr>
        <w:t>FALHAS DE REGISTRO E MONITORAMENTO DE SEGURANÇA (OWASP A09): FUNDAMENTOS, IMPACTOS E ESTRATÉGIAS DE MITIGAÇÃO</w:t>
      </w:r>
    </w:p>
    <w:p>
      <w:pPr>
        <w:pStyle w:val="Normal"/>
        <w:spacing w:lineRule="auto" w:line="360" w:before="0" w:after="0"/>
        <w:rPr/>
      </w:pPr>
      <w:r>
        <w:rPr/>
      </w:r>
    </w:p>
    <w:p>
      <w:pPr>
        <w:pStyle w:val="Normal"/>
        <w:spacing w:lineRule="auto" w:line="360" w:before="0" w:after="0"/>
        <w:jc w:val="end"/>
        <w:rPr/>
      </w:pPr>
      <w:r>
        <w:rPr>
          <w:rFonts w:cs="Arial" w:ascii="Arial" w:hAnsi="Arial"/>
          <w:b/>
          <w:bCs/>
          <w:sz w:val="24"/>
          <w:szCs w:val="24"/>
        </w:rPr>
        <w:t>Guilherme de Castro Carramilo</w:t>
      </w:r>
    </w:p>
    <w:p>
      <w:pPr>
        <w:pStyle w:val="Normal"/>
        <w:spacing w:lineRule="auto" w:line="360" w:before="0" w:after="0"/>
        <w:jc w:val="end"/>
        <w:rPr/>
      </w:pPr>
      <w:r>
        <w:rPr>
          <w:rFonts w:cs="Arial" w:ascii="Arial" w:hAnsi="Arial"/>
          <w:b/>
          <w:bCs/>
          <w:sz w:val="24"/>
          <w:szCs w:val="24"/>
        </w:rPr>
        <w:t>Luiz Alberto Lisot</w:t>
      </w:r>
    </w:p>
    <w:p>
      <w:pPr>
        <w:pStyle w:val="Normal"/>
        <w:spacing w:lineRule="auto" w:line="360" w:before="0" w:after="0"/>
        <w:rPr/>
      </w:pPr>
      <w:r>
        <w:rPr/>
      </w:r>
    </w:p>
    <w:p>
      <w:pPr>
        <w:pStyle w:val="Normal"/>
        <w:keepNext w:val="true"/>
        <w:spacing w:lineRule="auto" w:line="360" w:before="240" w:after="240"/>
        <w:jc w:val="start"/>
        <w:rPr/>
      </w:pPr>
      <w:r>
        <w:rPr>
          <w:rFonts w:cs="Arial" w:ascii="Arial" w:hAnsi="Arial"/>
          <w:b/>
          <w:bCs/>
          <w:sz w:val="24"/>
          <w:szCs w:val="24"/>
        </w:rPr>
        <w:t>1 INTRODUÇÃO</w:t>
      </w:r>
    </w:p>
    <w:p>
      <w:pPr>
        <w:pStyle w:val="Normal"/>
        <w:spacing w:lineRule="auto" w:line="360" w:before="0" w:after="0"/>
        <w:ind w:firstLine="709"/>
        <w:jc w:val="both"/>
        <w:rPr/>
      </w:pPr>
      <w:r>
        <w:rPr>
          <w:rFonts w:cs="Arial" w:ascii="Arial" w:hAnsi="Arial"/>
          <w:sz w:val="24"/>
          <w:szCs w:val="24"/>
        </w:rPr>
        <w:t>A crescente digitalização de serviços públicos e privados ampliou a superfície de ataque de aplicações web e de interfaces de programação de aplicações (</w:t>
      </w:r>
      <w:r>
        <w:rPr>
          <w:rFonts w:cs="Arial" w:ascii="Arial" w:hAnsi="Arial"/>
          <w:i/>
          <w:iCs/>
          <w:sz w:val="24"/>
          <w:szCs w:val="24"/>
        </w:rPr>
        <w:t>Application Programming Interfaces</w:t>
      </w:r>
      <w:r>
        <w:rPr>
          <w:rFonts w:cs="Arial" w:ascii="Arial" w:hAnsi="Arial"/>
          <w:sz w:val="24"/>
          <w:szCs w:val="24"/>
        </w:rPr>
        <w:t xml:space="preserve"> – APIs). Nesse cenário, impedir toda e qualquer tentativa de invasão é um objetivo inalcançável, o que desloca parte do esforço de segurança para a capacidade de perceber que um ataque está em curso, compreender o que aconteceu e reagir a tempo. É nesse ponto que se situa a categoria A09 do </w:t>
      </w:r>
      <w:r>
        <w:rPr>
          <w:rFonts w:cs="Arial" w:ascii="Arial" w:hAnsi="Arial"/>
          <w:i/>
          <w:iCs/>
          <w:sz w:val="24"/>
          <w:szCs w:val="24"/>
        </w:rPr>
        <w:t>OWASP Top 10</w:t>
      </w:r>
      <w:r>
        <w:rPr>
          <w:rFonts w:cs="Arial" w:ascii="Arial" w:hAnsi="Arial"/>
          <w:sz w:val="24"/>
          <w:szCs w:val="24"/>
        </w:rPr>
        <w:t xml:space="preserve">, denominada </w:t>
      </w:r>
      <w:r>
        <w:rPr>
          <w:rFonts w:cs="Arial" w:ascii="Arial" w:hAnsi="Arial"/>
          <w:i/>
          <w:iCs/>
          <w:sz w:val="24"/>
          <w:szCs w:val="24"/>
        </w:rPr>
        <w:t>Security Logging and Monitoring Failures</w:t>
      </w:r>
      <w:r>
        <w:rPr>
          <w:rFonts w:cs="Arial" w:ascii="Arial" w:hAnsi="Arial"/>
          <w:sz w:val="24"/>
          <w:szCs w:val="24"/>
        </w:rPr>
        <w:t xml:space="preserve"> na edição de 2021 (OWASP, 2021).</w:t>
      </w:r>
    </w:p>
    <w:p>
      <w:pPr>
        <w:pStyle w:val="Normal"/>
        <w:spacing w:lineRule="auto" w:line="360" w:before="0" w:after="0"/>
        <w:ind w:firstLine="709"/>
        <w:jc w:val="both"/>
        <w:rPr/>
      </w:pPr>
      <w:r>
        <w:rPr>
          <w:rFonts w:cs="Arial" w:ascii="Arial" w:hAnsi="Arial"/>
          <w:sz w:val="24"/>
          <w:szCs w:val="24"/>
        </w:rPr>
        <w:t xml:space="preserve">O </w:t>
      </w:r>
      <w:r>
        <w:rPr>
          <w:rFonts w:cs="Arial" w:ascii="Arial" w:hAnsi="Arial"/>
          <w:i/>
          <w:iCs/>
          <w:sz w:val="24"/>
          <w:szCs w:val="24"/>
        </w:rPr>
        <w:t>Top 10</w:t>
      </w:r>
      <w:r>
        <w:rPr>
          <w:rFonts w:cs="Arial" w:ascii="Arial" w:hAnsi="Arial"/>
          <w:sz w:val="24"/>
          <w:szCs w:val="24"/>
        </w:rPr>
        <w:t xml:space="preserve"> é um documento de conscientização sobre os riscos mais críticos de segurança em aplicações web, elaborado pela comunidade do </w:t>
      </w:r>
      <w:r>
        <w:rPr>
          <w:rFonts w:cs="Arial" w:ascii="Arial" w:hAnsi="Arial"/>
          <w:i/>
          <w:iCs/>
          <w:sz w:val="24"/>
          <w:szCs w:val="24"/>
        </w:rPr>
        <w:t>Open Worldwide Application Security Project</w:t>
      </w:r>
      <w:r>
        <w:rPr>
          <w:rFonts w:cs="Arial" w:ascii="Arial" w:hAnsi="Arial"/>
          <w:sz w:val="24"/>
          <w:szCs w:val="24"/>
        </w:rPr>
        <w:t xml:space="preserve"> (OWASP) e reconhecido como um consenso amplo entre profissionais da área (OWASP, 2025a). Diferentemente de categorias como injeção ou controle de acesso quebrado, a A09 não descreve uma falha que, por si só, permita a invasão. Ela descreve uma deficiência que faz com que a invasão passe despercebida, dure mais tempo e cause danos maiores, além de dificultar a investigação posterior. Nas palavras do OWASP, “sem registro e monitoramento, ataques e violações não podem ser detectados” (OWASP, 2025a, tradução nossa).</w:t>
      </w:r>
    </w:p>
    <w:p>
      <w:pPr>
        <w:pStyle w:val="Normal"/>
        <w:spacing w:lineRule="auto" w:line="360" w:before="0" w:after="0"/>
        <w:ind w:firstLine="709"/>
        <w:jc w:val="both"/>
        <w:rPr/>
      </w:pPr>
      <w:r>
        <w:rPr>
          <w:rFonts w:cs="Arial" w:ascii="Arial" w:hAnsi="Arial"/>
          <w:sz w:val="24"/>
          <w:szCs w:val="24"/>
        </w:rPr>
        <w:t xml:space="preserve">Diante disso, esta pesquisa parte da seguinte questão: de que forma a ausência ou a deficiência de registro, monitoramento e alerta compromete a segurança de uma aplicação, e que práticas permitem reduzir esse risco? O objetivo geral é elaborar a fundamentação teórica sobre a categoria A09. Como objetivos específicos, busca-se: (a) caracterizar a categoria e sua evolução nas edições de 2017, 2021 e 2025 do </w:t>
      </w:r>
      <w:r>
        <w:rPr>
          <w:rFonts w:cs="Arial" w:ascii="Arial" w:hAnsi="Arial"/>
          <w:i/>
          <w:iCs/>
          <w:sz w:val="24"/>
          <w:szCs w:val="24"/>
        </w:rPr>
        <w:t>Top 10</w:t>
      </w:r>
      <w:r>
        <w:rPr>
          <w:rFonts w:cs="Arial" w:ascii="Arial" w:hAnsi="Arial"/>
          <w:sz w:val="24"/>
          <w:szCs w:val="24"/>
        </w:rPr>
        <w:t>; (b) apresentar os conceitos e as fraquezas de software a ela associados; (c) analisar seus impactos a partir de casos reais e do arcabouço legal e normativo aplicável no Brasil; e (d) reunir as práticas de prevenção e mitigação recomendadas na literatura técnica, que servirão de base para a etapa prática do trabalho.</w:t>
      </w:r>
    </w:p>
    <w:p>
      <w:pPr>
        <w:pStyle w:val="Normal"/>
        <w:spacing w:lineRule="auto" w:line="360" w:before="0" w:after="0"/>
        <w:ind w:firstLine="709"/>
        <w:jc w:val="both"/>
        <w:rPr/>
      </w:pPr>
      <w:r>
        <w:rPr>
          <w:rFonts w:cs="Arial" w:ascii="Arial" w:hAnsi="Arial"/>
          <w:sz w:val="24"/>
          <w:szCs w:val="24"/>
        </w:rPr>
        <w:t>A justificativa para o tema reside em um paradoxo apontado pelo próprio OWASP: trata-se de uma categoria de difícil teste, com pouca representação nos dados de vulnerabilidades catalogadas (CVE/CVSS), mas de grande impacto para a visibilidade, o alerta de incidentes e a análise forense (OWASP, 2021; OWASP, 2025a). Por não gerar, isoladamente, uma exploração demonstrável, a falha tende a receber menos atenção e investimento do que outras. Soma-se a isso o contexto regulatório brasileiro, no qual a Lei Geral de Proteção de Dados Pessoais exige a adoção de medidas de segurança e a comunicação de incidentes (BRASIL, 2018), obrigações que dificilmente podem ser cumpridas sem registros confiáveis.</w:t>
      </w:r>
    </w:p>
    <w:p>
      <w:pPr>
        <w:pStyle w:val="Normal"/>
        <w:spacing w:lineRule="auto" w:line="360" w:before="0" w:after="0"/>
        <w:ind w:firstLine="709"/>
        <w:jc w:val="both"/>
        <w:rPr/>
      </w:pPr>
      <w:r>
        <w:rPr>
          <w:rFonts w:cs="Arial" w:ascii="Arial" w:hAnsi="Arial"/>
          <w:sz w:val="24"/>
          <w:szCs w:val="24"/>
        </w:rPr>
        <w:t xml:space="preserve">Quanto à metodologia, trata-se de pesquisa bibliográfica e documental, de natureza qualitativa e finalidade exploratória, baseada em fontes primárias: a documentação oficial do OWASP, o catálogo de fraquezas </w:t>
      </w:r>
      <w:r>
        <w:rPr>
          <w:rFonts w:cs="Arial" w:ascii="Arial" w:hAnsi="Arial"/>
          <w:i/>
          <w:iCs/>
          <w:sz w:val="24"/>
          <w:szCs w:val="24"/>
        </w:rPr>
        <w:t>Common Weakness Enumeration</w:t>
      </w:r>
      <w:r>
        <w:rPr>
          <w:rFonts w:cs="Arial" w:ascii="Arial" w:hAnsi="Arial"/>
          <w:sz w:val="24"/>
          <w:szCs w:val="24"/>
        </w:rPr>
        <w:t xml:space="preserve"> (CWE) mantido pela MITRE, publicações do </w:t>
      </w:r>
      <w:r>
        <w:rPr>
          <w:rFonts w:cs="Arial" w:ascii="Arial" w:hAnsi="Arial"/>
          <w:i/>
          <w:iCs/>
          <w:sz w:val="24"/>
          <w:szCs w:val="24"/>
        </w:rPr>
        <w:t>National Institute of Standards and Technology</w:t>
      </w:r>
      <w:r>
        <w:rPr>
          <w:rFonts w:cs="Arial" w:ascii="Arial" w:hAnsi="Arial"/>
          <w:sz w:val="24"/>
          <w:szCs w:val="24"/>
        </w:rPr>
        <w:t xml:space="preserve"> (NIST), um relatório do Congresso dos Estados Unidos sobre um incidente real, normas técnicas e a legislação brasileira. O texto está organizado em duas partes: a fundamentação teórica e as considerações finais.</w:t>
      </w:r>
    </w:p>
    <w:p>
      <w:pPr>
        <w:pStyle w:val="Normal"/>
        <w:keepNext w:val="true"/>
        <w:spacing w:lineRule="auto" w:line="360" w:before="240" w:after="240"/>
        <w:jc w:val="start"/>
        <w:rPr/>
      </w:pPr>
      <w:r>
        <w:rPr>
          <w:rFonts w:cs="Arial" w:ascii="Arial" w:hAnsi="Arial"/>
          <w:b/>
          <w:bCs/>
          <w:sz w:val="24"/>
          <w:szCs w:val="24"/>
        </w:rPr>
        <w:t>2 FUNDAMENTAÇÃO TEÓRICA</w:t>
      </w:r>
    </w:p>
    <w:p>
      <w:pPr>
        <w:pStyle w:val="Normal"/>
        <w:keepNext w:val="true"/>
        <w:spacing w:lineRule="auto" w:line="360" w:before="120" w:after="120"/>
        <w:jc w:val="start"/>
        <w:rPr/>
      </w:pPr>
      <w:r>
        <w:rPr>
          <w:rFonts w:cs="Arial" w:ascii="Arial" w:hAnsi="Arial"/>
          <w:b/>
          <w:bCs/>
          <w:sz w:val="24"/>
          <w:szCs w:val="24"/>
        </w:rPr>
        <w:t>2.1 O OWASP Top 10 e a trajetória da categoria A09</w:t>
      </w:r>
    </w:p>
    <w:p>
      <w:pPr>
        <w:pStyle w:val="Normal"/>
        <w:spacing w:lineRule="auto" w:line="360" w:before="0" w:after="0"/>
        <w:ind w:firstLine="709"/>
        <w:jc w:val="both"/>
        <w:rPr/>
      </w:pPr>
      <w:r>
        <w:rPr>
          <w:rFonts w:cs="Arial" w:ascii="Arial" w:hAnsi="Arial"/>
          <w:sz w:val="24"/>
          <w:szCs w:val="24"/>
        </w:rPr>
        <w:t xml:space="preserve">O </w:t>
      </w:r>
      <w:r>
        <w:rPr>
          <w:rFonts w:cs="Arial" w:ascii="Arial" w:hAnsi="Arial"/>
          <w:i/>
          <w:iCs/>
          <w:sz w:val="24"/>
          <w:szCs w:val="24"/>
        </w:rPr>
        <w:t>OWASP Top 10</w:t>
      </w:r>
      <w:r>
        <w:rPr>
          <w:rFonts w:cs="Arial" w:ascii="Arial" w:hAnsi="Arial"/>
          <w:sz w:val="24"/>
          <w:szCs w:val="24"/>
        </w:rPr>
        <w:t xml:space="preserve"> é atualizado periodicamente e combina dados de testes de segurança com uma pesquisa junto à comunidade. A categoria A09 ilustra bem esse mecanismo: em 2021, ela entrou na lista a partir da pesquisa com a comunidade, na terceira posição da votação, e não a partir dos dados de vulnerabilidades, que eram escassos (OWASP, 2021); em 2025, foi novamente incluída por voto da comunidade, pela terceira vez (OWASP, 2025a).</w:t>
      </w:r>
    </w:p>
    <w:p>
      <w:pPr>
        <w:pStyle w:val="Normal"/>
        <w:spacing w:lineRule="auto" w:line="360" w:before="0" w:after="0"/>
        <w:ind w:firstLine="709"/>
        <w:jc w:val="both"/>
        <w:rPr/>
      </w:pPr>
      <w:r>
        <w:rPr>
          <w:rFonts w:cs="Arial" w:ascii="Arial" w:hAnsi="Arial"/>
          <w:sz w:val="24"/>
          <w:szCs w:val="24"/>
        </w:rPr>
        <w:t xml:space="preserve">Na edição de 2017, o tema figurava na décima posição sob o nome </w:t>
      </w:r>
      <w:r>
        <w:rPr>
          <w:rFonts w:cs="Arial" w:ascii="Arial" w:hAnsi="Arial"/>
          <w:i/>
          <w:iCs/>
          <w:sz w:val="24"/>
          <w:szCs w:val="24"/>
        </w:rPr>
        <w:t>Insufficient Logging &amp; Monitoring</w:t>
      </w:r>
      <w:r>
        <w:rPr>
          <w:rFonts w:cs="Arial" w:ascii="Arial" w:hAnsi="Arial"/>
          <w:sz w:val="24"/>
          <w:szCs w:val="24"/>
        </w:rPr>
        <w:t xml:space="preserve">. Em 2021, subiu ligeiramente para a nona posição e passou a se chamar </w:t>
      </w:r>
      <w:r>
        <w:rPr>
          <w:rFonts w:cs="Arial" w:ascii="Arial" w:hAnsi="Arial"/>
          <w:i/>
          <w:iCs/>
          <w:sz w:val="24"/>
          <w:szCs w:val="24"/>
        </w:rPr>
        <w:t>Security Logging and Monitoring Failures</w:t>
      </w:r>
      <w:r>
        <w:rPr>
          <w:rFonts w:cs="Arial" w:ascii="Arial" w:hAnsi="Arial"/>
          <w:sz w:val="24"/>
          <w:szCs w:val="24"/>
        </w:rPr>
        <w:t xml:space="preserve">, ampliando o escopo: além da insuficiência de registros (CWE-778), passou a abranger a neutralização inadequada de saídas para logs (CWE-117), a omissão de informações relevantes para a segurança (CWE-223) e a inserção de informações sensíveis em arquivos de log (CWE-532) (OWASP, 2021). Na edição de 2025, a categoria manteve a nona posição e foi renomeada para </w:t>
      </w:r>
      <w:r>
        <w:rPr>
          <w:rFonts w:cs="Arial" w:ascii="Arial" w:hAnsi="Arial"/>
          <w:i/>
          <w:iCs/>
          <w:sz w:val="24"/>
          <w:szCs w:val="24"/>
        </w:rPr>
        <w:t>Security Logging and Alerting Failures</w:t>
      </w:r>
      <w:r>
        <w:rPr>
          <w:rFonts w:cs="Arial" w:ascii="Arial" w:hAnsi="Arial"/>
          <w:sz w:val="24"/>
          <w:szCs w:val="24"/>
        </w:rPr>
        <w:t>, mudança que, segundo o OWASP (2025a), enfatiza a função de alerta necessária para induzir ação diante de eventos relevantes registrados. Em outras palavras, o foco deixou de ser apenas registrar e observar e passou a incluir agir.</w:t>
      </w:r>
    </w:p>
    <w:p>
      <w:pPr>
        <w:pStyle w:val="Normal"/>
        <w:spacing w:lineRule="auto" w:line="360" w:before="0" w:after="0"/>
        <w:ind w:firstLine="709"/>
        <w:jc w:val="both"/>
        <w:rPr/>
      </w:pPr>
      <w:r>
        <w:rPr>
          <w:rFonts w:cs="Arial" w:ascii="Arial" w:hAnsi="Arial"/>
          <w:sz w:val="24"/>
          <w:szCs w:val="24"/>
        </w:rPr>
        <w:t>Os indicadores publicados pelo OWASP ajudam a dimensionar a categoria. Na edição de 2021, foram mapeadas quatro fraquezas, com taxa média de incidência de 6,51% e máxima de 19,23%, além de 53.615 ocorrências e 242 CVEs associados (OWASP, 2021). Na edição de 2025, o mapeamento passou a cinco fraquezas, com taxa média de incidência de 3,91% e máxima de 11,33%, 260.288 ocorrências e 723 CVEs (OWASP, 2025a). A comparação direta entre os dois ciclos exige cautela, pois os conjuntos de dados e os critérios de cada edição são distintos; ainda assim, os números indicam que a categoria é recorrente nas aplicações avaliadas. O próprio OWASP ressalta que ela será sempre sub-representada nos dados, por ser difícil de testar (OWASP, 2025a).</w:t>
      </w:r>
    </w:p>
    <w:p>
      <w:pPr>
        <w:pStyle w:val="Normal"/>
        <w:keepNext w:val="true"/>
        <w:spacing w:lineRule="auto" w:line="360" w:before="120" w:after="120"/>
        <w:jc w:val="start"/>
        <w:rPr/>
      </w:pPr>
      <w:r>
        <w:rPr>
          <w:rFonts w:cs="Arial" w:ascii="Arial" w:hAnsi="Arial"/>
          <w:b/>
          <w:bCs/>
          <w:sz w:val="24"/>
          <w:szCs w:val="24"/>
        </w:rPr>
        <w:t>2.2 Conceitos fundamentais</w:t>
      </w:r>
    </w:p>
    <w:p>
      <w:pPr>
        <w:pStyle w:val="Normal"/>
        <w:spacing w:lineRule="auto" w:line="360" w:before="0" w:after="0"/>
        <w:ind w:firstLine="709"/>
        <w:jc w:val="both"/>
        <w:rPr/>
      </w:pPr>
      <w:r>
        <w:rPr>
          <w:rFonts w:cs="Arial" w:ascii="Arial" w:hAnsi="Arial"/>
          <w:sz w:val="24"/>
          <w:szCs w:val="24"/>
        </w:rPr>
        <w:t xml:space="preserve">Um registro de eventos, ou </w:t>
      </w:r>
      <w:r>
        <w:rPr>
          <w:rFonts w:cs="Arial" w:ascii="Arial" w:hAnsi="Arial"/>
          <w:i/>
          <w:iCs/>
          <w:sz w:val="24"/>
          <w:szCs w:val="24"/>
        </w:rPr>
        <w:t>log</w:t>
      </w:r>
      <w:r>
        <w:rPr>
          <w:rFonts w:cs="Arial" w:ascii="Arial" w:hAnsi="Arial"/>
          <w:sz w:val="24"/>
          <w:szCs w:val="24"/>
        </w:rPr>
        <w:t>, é o histórico de ocorrências nos sistemas e nas redes de uma organização, e o gerenciamento de logs compreende o processo de geração, transmissão, armazenamento, análise e descarte desses dados (KENT; SOUPPAYA, 2006). Nem todo evento registrado tem relevância para a segurança. O OWASP (2021) trata como eventos auditáveis aqueles que precisam ser registrados por sua importância, como autenticações bem-sucedidas, tentativas de login malsucedidas e transações de alto valor.</w:t>
      </w:r>
    </w:p>
    <w:p>
      <w:pPr>
        <w:pStyle w:val="Normal"/>
        <w:spacing w:lineRule="auto" w:line="360" w:before="0" w:after="0"/>
        <w:ind w:firstLine="709"/>
        <w:jc w:val="both"/>
        <w:rPr/>
      </w:pPr>
      <w:r>
        <w:rPr>
          <w:rFonts w:cs="Arial" w:ascii="Arial" w:hAnsi="Arial"/>
          <w:sz w:val="24"/>
          <w:szCs w:val="24"/>
        </w:rPr>
        <w:t xml:space="preserve">O monitoramento consiste na observação contínua desses registros para identificar atividades suspeitas, e o alerta é o mecanismo que transforma uma observação em ação, notificando os responsáveis para que investiguem e respondam. Sem o alerta, o registro é apenas um arquivo consultado depois do dano; sem o registro, não há o que monitorar. Em ambientes maiores, essa cadeia costuma envolver ferramentas de correlação de logs, como a pilha </w:t>
      </w:r>
      <w:r>
        <w:rPr>
          <w:rFonts w:cs="Arial" w:ascii="Arial" w:hAnsi="Arial"/>
          <w:i/>
          <w:iCs/>
          <w:sz w:val="24"/>
          <w:szCs w:val="24"/>
        </w:rPr>
        <w:t>Elasticsearch, Logstash e Kibana</w:t>
      </w:r>
      <w:r>
        <w:rPr>
          <w:rFonts w:cs="Arial" w:ascii="Arial" w:hAnsi="Arial"/>
          <w:sz w:val="24"/>
          <w:szCs w:val="24"/>
        </w:rPr>
        <w:t xml:space="preserve"> (ELK), painéis de acompanhamento e uma equipe de operações de segurança (</w:t>
      </w:r>
      <w:r>
        <w:rPr>
          <w:rFonts w:cs="Arial" w:ascii="Arial" w:hAnsi="Arial"/>
          <w:i/>
          <w:iCs/>
          <w:sz w:val="24"/>
          <w:szCs w:val="24"/>
        </w:rPr>
        <w:t>Security Operations Center</w:t>
      </w:r>
      <w:r>
        <w:rPr>
          <w:rFonts w:cs="Arial" w:ascii="Arial" w:hAnsi="Arial"/>
          <w:sz w:val="24"/>
          <w:szCs w:val="24"/>
        </w:rPr>
        <w:t xml:space="preserve"> – SOC) que segue procedimentos documentados para cada tipo de alerta, os chamados </w:t>
      </w:r>
      <w:r>
        <w:rPr>
          <w:rFonts w:cs="Arial" w:ascii="Arial" w:hAnsi="Arial"/>
          <w:i/>
          <w:iCs/>
          <w:sz w:val="24"/>
          <w:szCs w:val="24"/>
        </w:rPr>
        <w:t>playbooks</w:t>
      </w:r>
      <w:r>
        <w:rPr>
          <w:rFonts w:cs="Arial" w:ascii="Arial" w:hAnsi="Arial"/>
          <w:sz w:val="24"/>
          <w:szCs w:val="24"/>
        </w:rPr>
        <w:t xml:space="preserve"> (OWASP, 2025a).</w:t>
      </w:r>
    </w:p>
    <w:p>
      <w:pPr>
        <w:pStyle w:val="Normal"/>
        <w:spacing w:lineRule="auto" w:line="360" w:before="0" w:after="0"/>
        <w:ind w:firstLine="709"/>
        <w:jc w:val="both"/>
        <w:rPr/>
      </w:pPr>
      <w:r>
        <w:rPr>
          <w:rFonts w:cs="Arial" w:ascii="Arial" w:hAnsi="Arial"/>
          <w:sz w:val="24"/>
          <w:szCs w:val="24"/>
        </w:rPr>
        <w:t>Outro conceito central é o de trilha de auditoria (</w:t>
      </w:r>
      <w:r>
        <w:rPr>
          <w:rFonts w:cs="Arial" w:ascii="Arial" w:hAnsi="Arial"/>
          <w:i/>
          <w:iCs/>
          <w:sz w:val="24"/>
          <w:szCs w:val="24"/>
        </w:rPr>
        <w:t>audit trail</w:t>
      </w:r>
      <w:r>
        <w:rPr>
          <w:rFonts w:cs="Arial" w:ascii="Arial" w:hAnsi="Arial"/>
          <w:sz w:val="24"/>
          <w:szCs w:val="24"/>
        </w:rPr>
        <w:t>), o conjunto de registros que permite reconstituir quem fez o quê e quando. Para ter valor investigativo, a trilha precisa de controles de integridade que impeçam adulteração ou exclusão, como tabelas de banco de dados somente para inclusão (</w:t>
      </w:r>
      <w:r>
        <w:rPr>
          <w:rFonts w:cs="Arial" w:ascii="Arial" w:hAnsi="Arial"/>
          <w:i/>
          <w:iCs/>
          <w:sz w:val="24"/>
          <w:szCs w:val="24"/>
        </w:rPr>
        <w:t>append-only</w:t>
      </w:r>
      <w:r>
        <w:rPr>
          <w:rFonts w:cs="Arial" w:ascii="Arial" w:hAnsi="Arial"/>
          <w:sz w:val="24"/>
          <w:szCs w:val="24"/>
        </w:rPr>
        <w:t>) (OWASP, 2025a). Por fim, registro e monitoramento são a base da fase de detecção e análise do ciclo de vida da resposta a incidentes descrito pelo NIST, que prevê ainda preparação, contenção, erradicação, recuperação e atividades posteriores ao incidente (CICHONSKI et al., 2012). Sem evidências confiáveis, todas essas fases ficam comprometidas.</w:t>
      </w:r>
    </w:p>
    <w:p>
      <w:pPr>
        <w:pStyle w:val="Normal"/>
        <w:keepNext w:val="true"/>
        <w:spacing w:lineRule="auto" w:line="360" w:before="120" w:after="120"/>
        <w:jc w:val="start"/>
        <w:rPr/>
      </w:pPr>
      <w:r>
        <w:rPr>
          <w:rFonts w:cs="Arial" w:ascii="Arial" w:hAnsi="Arial"/>
          <w:b/>
          <w:bCs/>
          <w:sz w:val="24"/>
          <w:szCs w:val="24"/>
        </w:rPr>
        <w:t>2.3 Fraquezas de software associadas (CWE)</w:t>
      </w:r>
    </w:p>
    <w:p>
      <w:pPr>
        <w:pStyle w:val="Normal"/>
        <w:spacing w:lineRule="auto" w:line="360" w:before="0" w:after="0"/>
        <w:ind w:firstLine="709"/>
        <w:jc w:val="both"/>
        <w:rPr/>
      </w:pPr>
      <w:r>
        <w:rPr>
          <w:rFonts w:cs="Arial" w:ascii="Arial" w:hAnsi="Arial"/>
          <w:sz w:val="24"/>
          <w:szCs w:val="24"/>
        </w:rPr>
        <w:t>O catálogo CWE, mantido pela MITRE, oferece uma linguagem comum para as fraquezas que compõem a categoria. A CWE-778 (</w:t>
      </w:r>
      <w:r>
        <w:rPr>
          <w:rFonts w:cs="Arial" w:ascii="Arial" w:hAnsi="Arial"/>
          <w:i/>
          <w:iCs/>
          <w:sz w:val="24"/>
          <w:szCs w:val="24"/>
        </w:rPr>
        <w:t>Insufficient Logging</w:t>
      </w:r>
      <w:r>
        <w:rPr>
          <w:rFonts w:cs="Arial" w:ascii="Arial" w:hAnsi="Arial"/>
          <w:sz w:val="24"/>
          <w:szCs w:val="24"/>
        </w:rPr>
        <w:t>) descreve o caso em que um evento crítico para a segurança não é registrado ou é registrado sem detalhes importantes (MITRE, [s.d.]d). A CWE-223 (</w:t>
      </w:r>
      <w:r>
        <w:rPr>
          <w:rFonts w:cs="Arial" w:ascii="Arial" w:hAnsi="Arial"/>
          <w:i/>
          <w:iCs/>
          <w:sz w:val="24"/>
          <w:szCs w:val="24"/>
        </w:rPr>
        <w:t>Omission of Security-relevant Information</w:t>
      </w:r>
      <w:r>
        <w:rPr>
          <w:rFonts w:cs="Arial" w:ascii="Arial" w:hAnsi="Arial"/>
          <w:sz w:val="24"/>
          <w:szCs w:val="24"/>
        </w:rPr>
        <w:t>) trata da falta, nos registros ou nas mensagens exibidas, de informações relevantes para identificar a origem ou a natureza de um ataque ou para avaliar se uma ação é segura (MITRE, [s.d.]b). A CWE-221 (</w:t>
      </w:r>
      <w:r>
        <w:rPr>
          <w:rFonts w:cs="Arial" w:ascii="Arial" w:hAnsi="Arial"/>
          <w:i/>
          <w:iCs/>
          <w:sz w:val="24"/>
          <w:szCs w:val="24"/>
        </w:rPr>
        <w:t>Information Loss or Omission</w:t>
      </w:r>
      <w:r>
        <w:rPr>
          <w:rFonts w:cs="Arial" w:ascii="Arial" w:hAnsi="Arial"/>
          <w:sz w:val="24"/>
          <w:szCs w:val="24"/>
        </w:rPr>
        <w:t>), acrescentada ao mapeamento na edição de 2025 (OWASP, 2025a), reúne casos mais amplos de perda ou omissão de informação.</w:t>
      </w:r>
    </w:p>
    <w:p>
      <w:pPr>
        <w:pStyle w:val="Normal"/>
        <w:spacing w:lineRule="auto" w:line="360" w:before="0" w:after="0"/>
        <w:ind w:firstLine="709"/>
        <w:jc w:val="both"/>
        <w:rPr/>
      </w:pPr>
      <w:r>
        <w:rPr>
          <w:rFonts w:cs="Arial" w:ascii="Arial" w:hAnsi="Arial"/>
          <w:sz w:val="24"/>
          <w:szCs w:val="24"/>
        </w:rPr>
        <w:t>Já a CWE-117 (</w:t>
      </w:r>
      <w:r>
        <w:rPr>
          <w:rFonts w:cs="Arial" w:ascii="Arial" w:hAnsi="Arial"/>
          <w:i/>
          <w:iCs/>
          <w:sz w:val="24"/>
          <w:szCs w:val="24"/>
        </w:rPr>
        <w:t>Improper Output Neutralization for Logs</w:t>
      </w:r>
      <w:r>
        <w:rPr>
          <w:rFonts w:cs="Arial" w:ascii="Arial" w:hAnsi="Arial"/>
          <w:sz w:val="24"/>
          <w:szCs w:val="24"/>
        </w:rPr>
        <w:t>) e a CWE-532 (</w:t>
      </w:r>
      <w:r>
        <w:rPr>
          <w:rFonts w:cs="Arial" w:ascii="Arial" w:hAnsi="Arial"/>
          <w:i/>
          <w:iCs/>
          <w:sz w:val="24"/>
          <w:szCs w:val="24"/>
        </w:rPr>
        <w:t>Insertion of Sensitive Information into Log File</w:t>
      </w:r>
      <w:r>
        <w:rPr>
          <w:rFonts w:cs="Arial" w:ascii="Arial" w:hAnsi="Arial"/>
          <w:sz w:val="24"/>
          <w:szCs w:val="24"/>
        </w:rPr>
        <w:t>) mostram que o problema não se resume à falta de registro: o registro feito de forma inadequada também é uma vulnerabilidade. A primeira ocorre quando dados controlados pelo usuário são gravados no log sem a devida neutralização, o que permite a um atacante forjar entradas, por exemplo inserindo quebras de linha e texto que simulem eventos legítimos (MITRE, [s.d.]a). A segunda ocorre quando informações sensíveis, como senhas ou dados pessoais, são gravadas em texto claro, transformando o arquivo de log em fonte de vazamento (MITRE, [s.d.]c). Esse duplo aspecto, registrar o suficiente sem registrar demais, será retomado na seção sobre prevenção, pois envolve também a proteção de dados pessoais.</w:t>
      </w:r>
    </w:p>
    <w:p>
      <w:pPr>
        <w:pStyle w:val="Normal"/>
        <w:keepNext w:val="true"/>
        <w:spacing w:lineRule="auto" w:line="360" w:before="120" w:after="120"/>
        <w:jc w:val="start"/>
        <w:rPr/>
      </w:pPr>
      <w:r>
        <w:rPr>
          <w:rFonts w:cs="Arial" w:ascii="Arial" w:hAnsi="Arial"/>
          <w:b/>
          <w:bCs/>
          <w:sz w:val="24"/>
          <w:szCs w:val="24"/>
        </w:rPr>
        <w:t>2.4 Como a falha se manifesta</w:t>
      </w:r>
    </w:p>
    <w:p>
      <w:pPr>
        <w:pStyle w:val="Normal"/>
        <w:spacing w:lineRule="auto" w:line="360" w:before="0" w:after="0"/>
        <w:ind w:firstLine="709"/>
        <w:jc w:val="both"/>
        <w:rPr/>
      </w:pPr>
      <w:r>
        <w:rPr>
          <w:rFonts w:cs="Arial" w:ascii="Arial" w:hAnsi="Arial"/>
          <w:sz w:val="24"/>
          <w:szCs w:val="24"/>
        </w:rPr>
        <w:t>O OWASP descreve a falha por meio de situações recorrentes, que podem ser agrupadas em quatro frentes. A primeira é a cobertura dos registros: eventos auditáveis não são registrados ou o são de modo inconsistente, como quando a aplicação registra apenas os logins bem-sucedidos e ignora as tentativas malsucedidas, e avisos e erros geram mensagens ausentes, insuficientes ou pouco claras (OWASP, 2025a). Isso inclui a aplicação que não percebe que ocorreu um erro e, por isso, não consegue registrá-lo.</w:t>
      </w:r>
    </w:p>
    <w:p>
      <w:pPr>
        <w:pStyle w:val="Normal"/>
        <w:spacing w:lineRule="auto" w:line="360" w:before="0" w:after="0"/>
        <w:ind w:firstLine="709"/>
        <w:jc w:val="both"/>
        <w:rPr/>
      </w:pPr>
      <w:r>
        <w:rPr>
          <w:rFonts w:cs="Arial" w:ascii="Arial" w:hAnsi="Arial"/>
          <w:sz w:val="24"/>
          <w:szCs w:val="24"/>
        </w:rPr>
        <w:t>A segunda frente é a proteção dos registros. Logs sem controle de integridade podem ser adulterados por quem invade o sistema para apagar seus rastros, e logs armazenados apenas localmente, sem cópia de segurança, podem ser perdidos junto com o servidor comprometido (OWASP, 2025a). Registros de eventos visíveis a usuários ou a atacantes, ou que contenham informações como dados pessoais e de saúde, transformam o próprio mecanismo de defesa em fonte de vazamento.</w:t>
      </w:r>
    </w:p>
    <w:p>
      <w:pPr>
        <w:pStyle w:val="Normal"/>
        <w:spacing w:lineRule="auto" w:line="360" w:before="0" w:after="0"/>
        <w:ind w:firstLine="709"/>
        <w:jc w:val="both"/>
        <w:rPr/>
      </w:pPr>
      <w:r>
        <w:rPr>
          <w:rFonts w:cs="Arial" w:ascii="Arial" w:hAnsi="Arial"/>
          <w:sz w:val="24"/>
          <w:szCs w:val="24"/>
        </w:rPr>
        <w:t>A terceira frente é a detecção e o alerta: logs de aplicações e de APIs que ninguém monitora, limiares de alerta e processos de escalonamento inexistentes ou ineficazes, alertas que não são recebidos ou revisados em tempo razoável e incapacidade de detectar ataques em tempo real ou quase real (OWASP, 2025a). Um critério prático de verificação citado pelo OWASP é que testes de invasão e varreduras de ferramentas de teste dinâmico de segurança de aplicações (</w:t>
      </w:r>
      <w:r>
        <w:rPr>
          <w:rFonts w:cs="Arial" w:ascii="Arial" w:hAnsi="Arial"/>
          <w:i/>
          <w:iCs/>
          <w:sz w:val="24"/>
          <w:szCs w:val="24"/>
        </w:rPr>
        <w:t>Dynamic Application Security Testing</w:t>
      </w:r>
      <w:r>
        <w:rPr>
          <w:rFonts w:cs="Arial" w:ascii="Arial" w:hAnsi="Arial"/>
          <w:sz w:val="24"/>
          <w:szCs w:val="24"/>
        </w:rPr>
        <w:t xml:space="preserve"> – DAST), como ZAP e Burp, deveriam disparar alertas; quando isso não acontece, o monitoramento é deficiente (OWASP, 2021; OWASP, 2025a).</w:t>
      </w:r>
    </w:p>
    <w:p>
      <w:pPr>
        <w:pStyle w:val="Normal"/>
        <w:spacing w:lineRule="auto" w:line="360" w:before="0" w:after="0"/>
        <w:ind w:firstLine="709"/>
        <w:jc w:val="both"/>
        <w:rPr/>
      </w:pPr>
      <w:r>
        <w:rPr>
          <w:rFonts w:cs="Arial" w:ascii="Arial" w:hAnsi="Arial"/>
          <w:sz w:val="24"/>
          <w:szCs w:val="24"/>
        </w:rPr>
        <w:t xml:space="preserve">A quarta frente é a resposta: casos de uso de alerta ausentes ou desatualizados, </w:t>
      </w:r>
      <w:r>
        <w:rPr>
          <w:rFonts w:cs="Arial" w:ascii="Arial" w:hAnsi="Arial"/>
          <w:i/>
          <w:iCs/>
          <w:sz w:val="24"/>
          <w:szCs w:val="24"/>
        </w:rPr>
        <w:t>playbooks</w:t>
      </w:r>
      <w:r>
        <w:rPr>
          <w:rFonts w:cs="Arial" w:ascii="Arial" w:hAnsi="Arial"/>
          <w:sz w:val="24"/>
          <w:szCs w:val="24"/>
        </w:rPr>
        <w:t xml:space="preserve"> incompletos e excesso de falsos positivos. Quando o volume de alertas irrelevantes é alto, os alertas importantes se perdem no ruído e são percebidos tarde ou nunca, o que sobrecarrega as equipes de SOC (OWASP, 2025a), situação frequentemente chamada de fadiga de alertas.</w:t>
      </w:r>
    </w:p>
    <w:p>
      <w:pPr>
        <w:pStyle w:val="Normal"/>
        <w:keepNext w:val="true"/>
        <w:spacing w:lineRule="auto" w:line="360" w:before="120" w:after="120"/>
        <w:jc w:val="start"/>
        <w:rPr/>
      </w:pPr>
      <w:r>
        <w:rPr>
          <w:rFonts w:cs="Arial" w:ascii="Arial" w:hAnsi="Arial"/>
          <w:b/>
          <w:bCs/>
          <w:sz w:val="24"/>
          <w:szCs w:val="24"/>
        </w:rPr>
        <w:t>2.5 Impactos e casos reais</w:t>
      </w:r>
    </w:p>
    <w:p>
      <w:pPr>
        <w:pStyle w:val="Normal"/>
        <w:spacing w:lineRule="auto" w:line="360" w:before="0" w:after="0"/>
        <w:ind w:firstLine="709"/>
        <w:jc w:val="both"/>
        <w:rPr/>
      </w:pPr>
      <w:r>
        <w:rPr>
          <w:rFonts w:cs="Arial" w:ascii="Arial" w:hAnsi="Arial"/>
          <w:sz w:val="24"/>
          <w:szCs w:val="24"/>
        </w:rPr>
        <w:t>O principal impacto de uma falha de registro e monitoramento é o aumento do tempo em que o invasor permanece no ambiente sem ser notado. Quanto mais longa a permanência, maior o volume de dados acessados e maior a dificuldade de estimar o alcance do incidente. Além disso, sem trilhas de auditoria confiáveis, a análise forense fica limitada e a organização pode ser incapaz de dizer quais dados foram afetados, o que agrava as consequências jurídicas e reputacionais. É por isso que o OWASP associa a categoria à responsabilização, à visibilidade, ao alerta de incidentes e à análise forense (OWASP, 2021).</w:t>
      </w:r>
    </w:p>
    <w:p>
      <w:pPr>
        <w:pStyle w:val="Normal"/>
        <w:spacing w:lineRule="auto" w:line="360" w:before="0" w:after="0"/>
        <w:ind w:firstLine="709"/>
        <w:jc w:val="both"/>
        <w:rPr/>
      </w:pPr>
      <w:r>
        <w:rPr>
          <w:rFonts w:cs="Arial" w:ascii="Arial" w:hAnsi="Arial"/>
          <w:sz w:val="24"/>
          <w:szCs w:val="24"/>
        </w:rPr>
        <w:t>O OWASP (2025a) apresenta três cenários ilustrativos. No primeiro, o operador do site de um plano de saúde infantil não detectou uma violação por falta de monitoramento; foi uma parte externa que informou que um atacante havia acessado e modificado milhares de registros sensíveis de mais de 3,5 milhões de crianças, e a ausência de registros indicava que a invasão poderia estar em curso desde 2013, por mais de sete anos. No segundo, uma grande companhia aérea indiana sofreu o vazamento de mais de uma década de dados pessoais de milhões de passageiros, incluindo passaportes e cartões de crédito, em um provedor de nuvem terceirizado, que só notificou a empresa após algum tempo. No terceiro, uma grande companhia aérea europeia sofreu uma violação reportável nos termos do regulamento europeu de proteção de dados, na qual atacantes teriam coletado mais de 400 mil registros de pagamento, e foi multada em 20 milhões de libras pelo órgão regulador de privacidade.</w:t>
      </w:r>
    </w:p>
    <w:p>
      <w:pPr>
        <w:pStyle w:val="Normal"/>
        <w:spacing w:lineRule="auto" w:line="360" w:before="0" w:after="0"/>
        <w:ind w:firstLine="709"/>
        <w:jc w:val="both"/>
        <w:rPr/>
      </w:pPr>
      <w:r>
        <w:rPr>
          <w:rFonts w:cs="Arial" w:ascii="Arial" w:hAnsi="Arial"/>
          <w:sz w:val="24"/>
          <w:szCs w:val="24"/>
        </w:rPr>
        <w:t>Um caso amplamente documentado é o da Equifax, em 2017. De acordo com o relatório do Comitê de Supervisão da Câmara dos Representantes dos Estados Unidos, o ataque durou 76 dias e os invasores, após explorarem uma vulnerabilidade conhecida em um componente de software da empresa, encontraram credenciais não criptografadas que lhes permitiram acessar 48 bancos de dados não relacionados, dos quais extraíram dados pessoais sem que a empresa percebesse (ESTADOS UNIDOS, 2018). O motivo dessa cegueira é revelador: o dispositivo usado para monitorar o tráfego de rede do sistema comprometido estava inativo havia 19 meses por causa de um certificado de segurança expirado. Assim que o certificado foi renovado, em 29 de julho de 2017, a empresa notou imediatamente tráfego suspeito (ESTADOS UNIDOS, 2018). O incidente comprometeu dados de aproximadamente 148 milhões de pessoas (ESTADOS UNIDOS, 2018).</w:t>
      </w:r>
    </w:p>
    <w:p>
      <w:pPr>
        <w:pStyle w:val="Normal"/>
        <w:spacing w:lineRule="auto" w:line="360" w:before="0" w:after="0"/>
        <w:ind w:firstLine="709"/>
        <w:jc w:val="both"/>
        <w:rPr/>
      </w:pPr>
      <w:r>
        <w:rPr>
          <w:rFonts w:cs="Arial" w:ascii="Arial" w:hAnsi="Arial"/>
          <w:sz w:val="24"/>
          <w:szCs w:val="24"/>
        </w:rPr>
        <w:t>O caso ensina que a existência de um controle não equivale à sua eficácia. O monitoramento estava implantado, mas falhava de modo silencioso, e ninguém percebeu que ele deixara de funcionar. Ensina também que a A09 costuma atuar como multiplicadora de outras falhas: a vulnerabilidade inicial pertence a outra categoria, mas foi a ausência de detecção que permitiu que ela se transformasse em um vazamento de grande escala. Por isso, verificar continuamente se os mecanismos de registro e alerta estão funcionando deve fazer parte do próprio processo de segurança.</w:t>
      </w:r>
    </w:p>
    <w:p>
      <w:pPr>
        <w:pStyle w:val="Normal"/>
        <w:keepNext w:val="true"/>
        <w:spacing w:lineRule="auto" w:line="360" w:before="120" w:after="120"/>
        <w:jc w:val="start"/>
        <w:rPr/>
      </w:pPr>
      <w:r>
        <w:rPr>
          <w:rFonts w:cs="Arial" w:ascii="Arial" w:hAnsi="Arial"/>
          <w:b/>
          <w:bCs/>
          <w:sz w:val="24"/>
          <w:szCs w:val="24"/>
        </w:rPr>
        <w:t>2.6 Aspectos legais e normativos no Brasil</w:t>
      </w:r>
    </w:p>
    <w:p>
      <w:pPr>
        <w:pStyle w:val="Normal"/>
        <w:spacing w:lineRule="auto" w:line="360" w:before="0" w:after="0"/>
        <w:ind w:firstLine="709"/>
        <w:jc w:val="both"/>
        <w:rPr/>
      </w:pPr>
      <w:r>
        <w:rPr>
          <w:rFonts w:cs="Arial" w:ascii="Arial" w:hAnsi="Arial"/>
          <w:sz w:val="24"/>
          <w:szCs w:val="24"/>
        </w:rPr>
        <w:t>No Brasil, a Lei Geral de Proteção de Dados Pessoais (LGPD) estabelece, entre os princípios do tratamento, a segurança e a responsabilização e prestação de contas, esta última entendida como a demonstração, pelo agente, da adoção de medidas eficazes e capazes de comprovar o cumprimento das normas de proteção de dados (BRASIL, 2018, art. 6º, incisos VII e X). O art. 46 obriga os agentes de tratamento a adotar medidas de segurança, técnicas e administrativas, aptas a proteger os dados pessoais de acessos não autorizados e de situações acidentais ou ilícitas de destruição, perda, alteração, comunicação ou tratamento inadequado, e o art. 48 exige que o controlador comunique à Autoridade Nacional de Proteção de Dados (ANPD) e ao titular a ocorrência de incidente de segurança que possa acarretar risco ou dano relevante (BRASIL, 2018).</w:t>
      </w:r>
    </w:p>
    <w:p>
      <w:pPr>
        <w:pStyle w:val="Normal"/>
        <w:spacing w:lineRule="auto" w:line="360" w:before="0" w:after="0"/>
        <w:ind w:firstLine="709"/>
        <w:jc w:val="both"/>
        <w:rPr/>
      </w:pPr>
      <w:r>
        <w:rPr>
          <w:rFonts w:cs="Arial" w:ascii="Arial" w:hAnsi="Arial"/>
          <w:sz w:val="24"/>
          <w:szCs w:val="24"/>
        </w:rPr>
        <w:t>O Regulamento de Comunicação de Incidente de Segurança fixou em três dias úteis, contados a partir do conhecimento do incidente, o prazo para o controlador comunicar a ANPD e os titulares (ANPD, 2024). Cumprir esse prazo exige saber que o incidente ocorreu e quais dados foram afetados, o que depende diretamente de monitoramento eficaz e de registros íntegros. Uma organização que só descobre a violação meses depois, ou por aviso de terceiros, como nos cenários do OWASP, encontra dificuldade evidente para atender a essa exigência.</w:t>
      </w:r>
    </w:p>
    <w:p>
      <w:pPr>
        <w:pStyle w:val="Normal"/>
        <w:spacing w:lineRule="auto" w:line="360" w:before="0" w:after="0"/>
        <w:ind w:firstLine="709"/>
        <w:jc w:val="both"/>
        <w:rPr/>
      </w:pPr>
      <w:r>
        <w:rPr>
          <w:rFonts w:cs="Arial" w:ascii="Arial" w:hAnsi="Arial"/>
          <w:sz w:val="24"/>
          <w:szCs w:val="24"/>
        </w:rPr>
        <w:t>O Marco Civil da Internet, por sua vez, obriga o provedor de aplicações de internet constituído como pessoa jurídica que exerça essa atividade de forma organizada, profissional e com fins econômicos a manter os registros de acesso a aplicações de internet, sob sigilo, em ambiente controlado e de segurança, pelo prazo de seis meses (BRASIL, 2014, art. 15). Há, portanto, um dever legal de registrar e guardar determinados dados, que convive com o dever de proteger dados pessoais, o que reforça a necessidade de definir com clareza o que registrar, por quanto tempo reter e quem pode acessar.</w:t>
      </w:r>
    </w:p>
    <w:p>
      <w:pPr>
        <w:pStyle w:val="Normal"/>
        <w:spacing w:lineRule="auto" w:line="360" w:before="0" w:after="0"/>
        <w:ind w:firstLine="709"/>
        <w:jc w:val="both"/>
        <w:rPr/>
      </w:pPr>
      <w:r>
        <w:rPr>
          <w:rFonts w:cs="Arial" w:ascii="Arial" w:hAnsi="Arial"/>
          <w:sz w:val="24"/>
          <w:szCs w:val="24"/>
        </w:rPr>
        <w:t>No plano normativo, a ABNT NBR ISO/IEC 27002:2022 e a ISO/IEC 27001:2022 tratam do tema em controles específicos de registro (</w:t>
      </w:r>
      <w:r>
        <w:rPr>
          <w:rFonts w:cs="Arial" w:ascii="Arial" w:hAnsi="Arial"/>
          <w:i/>
          <w:iCs/>
          <w:sz w:val="24"/>
          <w:szCs w:val="24"/>
        </w:rPr>
        <w:t>logging</w:t>
      </w:r>
      <w:r>
        <w:rPr>
          <w:rFonts w:cs="Arial" w:ascii="Arial" w:hAnsi="Arial"/>
          <w:sz w:val="24"/>
          <w:szCs w:val="24"/>
        </w:rPr>
        <w:t xml:space="preserve">) e de atividades de monitoramento, numerados 8.15 e 8.16, respectivamente (ABNT, 2022; ISO/IEC, 2022). Para aplicações, o </w:t>
      </w:r>
      <w:r>
        <w:rPr>
          <w:rFonts w:cs="Arial" w:ascii="Arial" w:hAnsi="Arial"/>
          <w:i/>
          <w:iCs/>
          <w:sz w:val="24"/>
          <w:szCs w:val="24"/>
        </w:rPr>
        <w:t>Application Security Verification Standard</w:t>
      </w:r>
      <w:r>
        <w:rPr>
          <w:rFonts w:cs="Arial" w:ascii="Arial" w:hAnsi="Arial"/>
          <w:sz w:val="24"/>
          <w:szCs w:val="24"/>
        </w:rPr>
        <w:t xml:space="preserve"> (ASVS) do OWASP dedica ao tema um capítulo de requisitos verificáveis, referido como V7 no </w:t>
      </w:r>
      <w:r>
        <w:rPr>
          <w:rFonts w:cs="Arial" w:ascii="Arial" w:hAnsi="Arial"/>
          <w:i/>
          <w:iCs/>
          <w:sz w:val="24"/>
          <w:szCs w:val="24"/>
        </w:rPr>
        <w:t>Top 10</w:t>
      </w:r>
      <w:r>
        <w:rPr>
          <w:rFonts w:cs="Arial" w:ascii="Arial" w:hAnsi="Arial"/>
          <w:sz w:val="24"/>
          <w:szCs w:val="24"/>
        </w:rPr>
        <w:t xml:space="preserve"> de 2021 e como V16, </w:t>
      </w:r>
      <w:r>
        <w:rPr>
          <w:rFonts w:cs="Arial" w:ascii="Arial" w:hAnsi="Arial"/>
          <w:i/>
          <w:iCs/>
          <w:sz w:val="24"/>
          <w:szCs w:val="24"/>
        </w:rPr>
        <w:t>Security Logging and Error Handling</w:t>
      </w:r>
      <w:r>
        <w:rPr>
          <w:rFonts w:cs="Arial" w:ascii="Arial" w:hAnsi="Arial"/>
          <w:sz w:val="24"/>
          <w:szCs w:val="24"/>
        </w:rPr>
        <w:t>, na versão 5.0 (OWASP, 2021; OWASP, 2025b).</w:t>
      </w:r>
    </w:p>
    <w:p>
      <w:pPr>
        <w:pStyle w:val="Normal"/>
        <w:keepNext w:val="true"/>
        <w:spacing w:lineRule="auto" w:line="360" w:before="120" w:after="120"/>
        <w:jc w:val="start"/>
        <w:rPr/>
      </w:pPr>
      <w:r>
        <w:rPr>
          <w:rFonts w:cs="Arial" w:ascii="Arial" w:hAnsi="Arial"/>
          <w:b/>
          <w:bCs/>
          <w:sz w:val="24"/>
          <w:szCs w:val="24"/>
        </w:rPr>
        <w:t>2.7 Estratégias de prevenção e mitigação</w:t>
      </w:r>
    </w:p>
    <w:p>
      <w:pPr>
        <w:pStyle w:val="Normal"/>
        <w:spacing w:lineRule="auto" w:line="360" w:before="0" w:after="0"/>
        <w:ind w:firstLine="709"/>
        <w:jc w:val="both"/>
        <w:rPr/>
      </w:pPr>
      <w:r>
        <w:rPr>
          <w:rFonts w:cs="Arial" w:ascii="Arial" w:hAnsi="Arial"/>
          <w:sz w:val="24"/>
          <w:szCs w:val="24"/>
        </w:rPr>
        <w:t>As recomendações do OWASP para prevenção devem ser aplicadas de acordo com o risco de cada aplicação (OWASP, 2025a). Elas podem ser organizadas em cinco eixos, apresentados a seguir.</w:t>
      </w:r>
    </w:p>
    <w:p>
      <w:pPr>
        <w:pStyle w:val="Normal"/>
        <w:spacing w:lineRule="auto" w:line="360" w:before="0" w:after="0"/>
        <w:ind w:firstLine="709"/>
        <w:jc w:val="both"/>
        <w:rPr/>
      </w:pPr>
      <w:r>
        <w:rPr>
          <w:rFonts w:cs="Arial" w:ascii="Arial" w:hAnsi="Arial"/>
          <w:sz w:val="24"/>
          <w:szCs w:val="24"/>
        </w:rPr>
        <w:t xml:space="preserve">O primeiro eixo é o que registrar. Recomenda-se registrar todas as falhas de login, de controle de acesso e de validação de entrada no servidor, com contexto de usuário suficiente para identificar contas suspeitas, e mantê-las por tempo adequado para permitir análise forense tardia. Recomenda-se ainda que todo componente que implemente um controle de segurança seja registrado, tanto no sucesso quanto na falha (OWASP, 2025a). O </w:t>
      </w:r>
      <w:r>
        <w:rPr>
          <w:rFonts w:cs="Arial" w:ascii="Arial" w:hAnsi="Arial"/>
          <w:i/>
          <w:iCs/>
          <w:sz w:val="24"/>
          <w:szCs w:val="24"/>
        </w:rPr>
        <w:t>Logging Cheat Sheet</w:t>
      </w:r>
      <w:r>
        <w:rPr>
          <w:rFonts w:cs="Arial" w:ascii="Arial" w:hAnsi="Arial"/>
          <w:sz w:val="24"/>
          <w:szCs w:val="24"/>
        </w:rPr>
        <w:t xml:space="preserve"> do OWASP complementa que cada evento deve ser descrito de modo a responder a perguntas básicas, como quando, onde, quem e o que ocorreu (OWASP, [s.d.]).</w:t>
      </w:r>
    </w:p>
    <w:p>
      <w:pPr>
        <w:pStyle w:val="Normal"/>
        <w:spacing w:lineRule="auto" w:line="360" w:before="0" w:after="0"/>
        <w:ind w:firstLine="709"/>
        <w:jc w:val="both"/>
        <w:rPr/>
      </w:pPr>
      <w:r>
        <w:rPr>
          <w:rFonts w:cs="Arial" w:ascii="Arial" w:hAnsi="Arial"/>
          <w:sz w:val="24"/>
          <w:szCs w:val="24"/>
        </w:rPr>
        <w:t>O segundo eixo é como formatar e proteger os registros. Os logs devem ser gerados em formato que as soluções de gerenciamento consigam consumir com facilidade, codificados corretamente para evitar injeção nos sistemas de monitoramento e acompanhados de trilhas de auditoria com controles de integridade, como tabelas somente para inclusão (OWASP, 2025a). A centralização dos registros em um repositório externo à aplicação, com cópia de segurança, enfrenta o problema dos logs apenas locais. Kent e Souppaya (2006) tratam da necessidade de uma infraestrutura de gerenciamento de logs, com políticas que definam o que registrar e por quanto tempo retê-lo.</w:t>
      </w:r>
    </w:p>
    <w:p>
      <w:pPr>
        <w:pStyle w:val="Normal"/>
        <w:spacing w:lineRule="auto" w:line="360" w:before="0" w:after="0"/>
        <w:ind w:firstLine="709"/>
        <w:jc w:val="both"/>
        <w:rPr/>
      </w:pPr>
      <w:r>
        <w:rPr>
          <w:rFonts w:cs="Arial" w:ascii="Arial" w:hAnsi="Arial"/>
          <w:sz w:val="24"/>
          <w:szCs w:val="24"/>
        </w:rPr>
        <w:t>O terceiro eixo é falhar de forma segura. Todas as transações que gerem erro devem ser revertidas e reiniciadas, e a aplicação deve sempre falhar de modo seguro, negando o acesso em caso de erro (</w:t>
      </w:r>
      <w:r>
        <w:rPr>
          <w:rFonts w:cs="Arial" w:ascii="Arial" w:hAnsi="Arial"/>
          <w:i/>
          <w:iCs/>
          <w:sz w:val="24"/>
          <w:szCs w:val="24"/>
        </w:rPr>
        <w:t>fail closed</w:t>
      </w:r>
      <w:r>
        <w:rPr>
          <w:rFonts w:cs="Arial" w:ascii="Arial" w:hAnsi="Arial"/>
          <w:sz w:val="24"/>
          <w:szCs w:val="24"/>
        </w:rPr>
        <w:t>) (OWASP, 2025a).</w:t>
      </w:r>
    </w:p>
    <w:p>
      <w:pPr>
        <w:pStyle w:val="Normal"/>
        <w:spacing w:lineRule="auto" w:line="360" w:before="0" w:after="0"/>
        <w:ind w:firstLine="709"/>
        <w:jc w:val="both"/>
        <w:rPr/>
      </w:pPr>
      <w:r>
        <w:rPr>
          <w:rFonts w:cs="Arial" w:ascii="Arial" w:hAnsi="Arial"/>
          <w:sz w:val="24"/>
          <w:szCs w:val="24"/>
        </w:rPr>
        <w:t xml:space="preserve">O quarto eixo é detectar e alertar. Se a aplicação ou seus usuários se comportarem de modo suspeito, deve-se emitir um alerta, e os desenvolvedores precisam de orientação para implementar esse comportamento ou de um sistema que o faça. As equipes de DevSecOps e de segurança devem estabelecer casos de uso de monitoramento e alerta acompanhados de </w:t>
      </w:r>
      <w:r>
        <w:rPr>
          <w:rFonts w:cs="Arial" w:ascii="Arial" w:hAnsi="Arial"/>
          <w:i/>
          <w:iCs/>
          <w:sz w:val="24"/>
          <w:szCs w:val="24"/>
        </w:rPr>
        <w:t>playbooks</w:t>
      </w:r>
      <w:r>
        <w:rPr>
          <w:rFonts w:cs="Arial" w:ascii="Arial" w:hAnsi="Arial"/>
          <w:sz w:val="24"/>
          <w:szCs w:val="24"/>
        </w:rPr>
        <w:t xml:space="preserve">, de modo que o SOC detecte e responda rapidamente às atividades suspeitas (OWASP, 2025a). Duas técnicas complementares merecem destaque. A primeira são os </w:t>
      </w:r>
      <w:r>
        <w:rPr>
          <w:rFonts w:cs="Arial" w:ascii="Arial" w:hAnsi="Arial"/>
          <w:i/>
          <w:iCs/>
          <w:sz w:val="24"/>
          <w:szCs w:val="24"/>
        </w:rPr>
        <w:t>honeytokens</w:t>
      </w:r>
      <w:r>
        <w:rPr>
          <w:rFonts w:cs="Arial" w:ascii="Arial" w:hAnsi="Arial"/>
          <w:sz w:val="24"/>
          <w:szCs w:val="24"/>
        </w:rPr>
        <w:t xml:space="preserve">, iscas inseridas na aplicação, como registros ou identidades de usuário fictícios no banco de dados: como não são usados na operação normal, qualquer acesso a eles gera registros que podem disparar alertas com taxa de falsos positivos muito baixa. A segunda é a análise comportamental, com apoio de inteligência artificial, que pode ajudar a reduzir os falsos positivos (OWASP, 2025a). Entre as ferramentas citadas para apoiar essa camada estão o </w:t>
      </w:r>
      <w:r>
        <w:rPr>
          <w:rFonts w:cs="Arial" w:ascii="Arial" w:hAnsi="Arial"/>
          <w:i/>
          <w:iCs/>
          <w:sz w:val="24"/>
          <w:szCs w:val="24"/>
        </w:rPr>
        <w:t>OWASP ModSecurity Core Rule Set</w:t>
      </w:r>
      <w:r>
        <w:rPr>
          <w:rFonts w:cs="Arial" w:ascii="Arial" w:hAnsi="Arial"/>
          <w:sz w:val="24"/>
          <w:szCs w:val="24"/>
        </w:rPr>
        <w:t xml:space="preserve"> e a pilha ELK, além de soluções comerciais de observabilidade (OWASP, 2025a).</w:t>
      </w:r>
    </w:p>
    <w:p>
      <w:pPr>
        <w:pStyle w:val="Normal"/>
        <w:spacing w:lineRule="auto" w:line="360" w:before="0" w:after="0"/>
        <w:ind w:firstLine="709"/>
        <w:jc w:val="both"/>
        <w:rPr/>
      </w:pPr>
      <w:r>
        <w:rPr>
          <w:rFonts w:cs="Arial" w:ascii="Arial" w:hAnsi="Arial"/>
          <w:sz w:val="24"/>
          <w:szCs w:val="24"/>
        </w:rPr>
        <w:t>O quinto eixo é responder. Recomenda-se estabelecer ou adotar um plano de resposta e recuperação de incidentes, como o NIST SP 800-61r2 ou versão posterior, e ensinar os desenvolvedores a reconhecer como se apresentam ataques e incidentes de aplicação, para que possam reportá-los (OWASP, 2025a; CICHONSKI et al., 2012).</w:t>
      </w:r>
    </w:p>
    <w:p>
      <w:pPr>
        <w:pStyle w:val="Normal"/>
        <w:spacing w:lineRule="auto" w:line="360" w:before="0" w:after="0"/>
        <w:ind w:firstLine="709"/>
        <w:jc w:val="both"/>
        <w:rPr/>
      </w:pPr>
      <w:r>
        <w:rPr>
          <w:rFonts w:cs="Arial" w:ascii="Arial" w:hAnsi="Arial"/>
          <w:sz w:val="24"/>
          <w:szCs w:val="24"/>
        </w:rPr>
        <w:t>Por fim, a mitigação da A09 exige equilíbrio. Registrar de menos impede a detecção; registrar demais, ou registrar o dado errado, cria risco de vazamento, custo de armazenamento e ruído que prejudica a análise. Por isso, dados como senhas e informações pessoais desnecessárias não devem ser gravados em texto claro (MITRE, [s.d.]c), e a política de registro deve considerar o princípio da necessidade previsto na LGPD, que limita o tratamento ao mínimo necessário para a finalidade (BRASIL, 2018, art. 6º, inciso III).</w:t>
      </w:r>
    </w:p>
    <w:p>
      <w:pPr>
        <w:pStyle w:val="Normal"/>
        <w:keepNext w:val="true"/>
        <w:spacing w:lineRule="auto" w:line="360" w:before="120" w:after="120"/>
        <w:jc w:val="start"/>
        <w:rPr/>
      </w:pPr>
      <w:r>
        <w:rPr>
          <w:rFonts w:cs="Arial" w:ascii="Arial" w:hAnsi="Arial"/>
          <w:b/>
          <w:bCs/>
          <w:sz w:val="24"/>
          <w:szCs w:val="24"/>
        </w:rPr>
        <w:t>2.8 Desafios de teste e verificação</w:t>
      </w:r>
    </w:p>
    <w:p>
      <w:pPr>
        <w:pStyle w:val="Normal"/>
        <w:spacing w:lineRule="auto" w:line="360" w:before="0" w:after="0"/>
        <w:ind w:firstLine="709"/>
        <w:jc w:val="both"/>
        <w:rPr/>
      </w:pPr>
      <w:r>
        <w:rPr>
          <w:rFonts w:cs="Arial" w:ascii="Arial" w:hAnsi="Arial"/>
          <w:sz w:val="24"/>
          <w:szCs w:val="24"/>
        </w:rPr>
        <w:t>Um último aspecto teórico é a dificuldade de testar a categoria. O OWASP (2021) observa que a verificação de registro e monitoramento costuma envolver entrevistas ou a checagem de se os ataques foram detectados durante um teste de invasão. Diferentemente de uma injeção de SQL, que se comprova com uma requisição, a A09 se comprova pela ausência de uma reação. Isso sugere que a verificação seja conduzida como um exercício: simular ações maliciosas controladas, como múltiplas tentativas de login, acessos a recursos não autorizados e varreduras automatizadas, e conferir se cada uma deixou registro com contexto suficiente, gerou alerta e chegou a quem deveria agir, em tempo aceitável. Essa perspectiva de verificação pode orientar a etapa prática do trabalho.</w:t>
      </w:r>
    </w:p>
    <w:p>
      <w:pPr>
        <w:pStyle w:val="Normal"/>
        <w:keepNext w:val="true"/>
        <w:spacing w:lineRule="auto" w:line="360" w:before="240" w:after="240"/>
        <w:jc w:val="start"/>
        <w:rPr/>
      </w:pPr>
      <w:r>
        <w:rPr>
          <w:rFonts w:cs="Arial" w:ascii="Arial" w:hAnsi="Arial"/>
          <w:b/>
          <w:bCs/>
          <w:sz w:val="24"/>
          <w:szCs w:val="24"/>
        </w:rPr>
        <w:t>3 CONSIDERAÇÕES FINAIS</w:t>
      </w:r>
    </w:p>
    <w:p>
      <w:pPr>
        <w:pStyle w:val="Normal"/>
        <w:spacing w:lineRule="auto" w:line="360" w:before="0" w:after="0"/>
        <w:ind w:firstLine="709"/>
        <w:jc w:val="both"/>
        <w:rPr/>
      </w:pPr>
      <w:r>
        <w:rPr>
          <w:rFonts w:cs="Arial" w:ascii="Arial" w:hAnsi="Arial"/>
          <w:sz w:val="24"/>
          <w:szCs w:val="24"/>
        </w:rPr>
        <w:t xml:space="preserve">Este trabalho teve como objetivo elaborar a fundamentação teórica sobre a categoria A09 do </w:t>
      </w:r>
      <w:r>
        <w:rPr>
          <w:rFonts w:cs="Arial" w:ascii="Arial" w:hAnsi="Arial"/>
          <w:i/>
          <w:iCs/>
          <w:sz w:val="24"/>
          <w:szCs w:val="24"/>
        </w:rPr>
        <w:t>OWASP Top 10</w:t>
      </w:r>
      <w:r>
        <w:rPr>
          <w:rFonts w:cs="Arial" w:ascii="Arial" w:hAnsi="Arial"/>
          <w:sz w:val="24"/>
          <w:szCs w:val="24"/>
        </w:rPr>
        <w:t xml:space="preserve">, </w:t>
      </w:r>
      <w:r>
        <w:rPr>
          <w:rFonts w:cs="Arial" w:ascii="Arial" w:hAnsi="Arial"/>
          <w:i/>
          <w:iCs/>
          <w:sz w:val="24"/>
          <w:szCs w:val="24"/>
        </w:rPr>
        <w:t>Security Logging and Monitoring Failures</w:t>
      </w:r>
      <w:r>
        <w:rPr>
          <w:rFonts w:cs="Arial" w:ascii="Arial" w:hAnsi="Arial"/>
          <w:sz w:val="24"/>
          <w:szCs w:val="24"/>
        </w:rPr>
        <w:t xml:space="preserve">, denominada </w:t>
      </w:r>
      <w:r>
        <w:rPr>
          <w:rFonts w:cs="Arial" w:ascii="Arial" w:hAnsi="Arial"/>
          <w:i/>
          <w:iCs/>
          <w:sz w:val="24"/>
          <w:szCs w:val="24"/>
        </w:rPr>
        <w:t>Security Logging and Alerting Failures</w:t>
      </w:r>
      <w:r>
        <w:rPr>
          <w:rFonts w:cs="Arial" w:ascii="Arial" w:hAnsi="Arial"/>
          <w:sz w:val="24"/>
          <w:szCs w:val="24"/>
        </w:rPr>
        <w:t xml:space="preserve"> na edição de 2025. A revisão permitiu responder à questão de pesquisa: a ausência ou a deficiência de registro, monitoramento e alerta compromete a segurança porque retira da organização a capacidade de perceber um ataque em curso, de reagir a tempo e de reconstruir o que aconteceu, ampliando o dano causado por falhas de outras categorias. Isso foi evidenciado pelos cenários apresentados pelo OWASP e, de forma detalhada, pelo caso da Equifax, em que um controle de monitoramento existia, mas estava inoperante havia 19 meses.</w:t>
      </w:r>
    </w:p>
    <w:p>
      <w:pPr>
        <w:pStyle w:val="Normal"/>
        <w:spacing w:lineRule="auto" w:line="360" w:before="0" w:after="0"/>
        <w:ind w:firstLine="709"/>
        <w:jc w:val="both"/>
        <w:rPr/>
      </w:pPr>
      <w:r>
        <w:rPr>
          <w:rFonts w:cs="Arial" w:ascii="Arial" w:hAnsi="Arial"/>
          <w:sz w:val="24"/>
          <w:szCs w:val="24"/>
        </w:rPr>
        <w:t>Quanto aos objetivos específicos, a categoria foi caracterizada e sua evolução foi acompanhada de 2017 a 2025, com a ampliação do escopo em 2021 e a ênfase no alerta em 2025. Foram apresentados os conceitos e as fraquezas associadas (CWE-117, CWE-221, CWE-223, CWE-532 e CWE-778), incluindo o risco do registro feito de forma inadequada. Foram discutidos os impactos e as exigências da LGPD, do Marco Civil da Internet e de normas técnicas. Por fim, foram reunidas as práticas de prevenção em cinco eixos: o que registrar, como proteger os registros, como falhar de modo seguro, como detectar e alertar e como responder.</w:t>
      </w:r>
    </w:p>
    <w:p>
      <w:pPr>
        <w:pStyle w:val="Normal"/>
        <w:spacing w:lineRule="auto" w:line="360" w:before="0" w:after="0"/>
        <w:ind w:firstLine="709"/>
        <w:jc w:val="both"/>
        <w:rPr/>
      </w:pPr>
      <w:r>
        <w:rPr>
          <w:rFonts w:cs="Arial" w:ascii="Arial" w:hAnsi="Arial"/>
          <w:sz w:val="24"/>
          <w:szCs w:val="24"/>
        </w:rPr>
        <w:t>Como limitação, esta pesquisa é essencialmente bibliográfica e documental, sem coleta de dados empíricos próprios, e os indicadores citados devem ser interpretados com a cautela apontada pelo OWASP quanto à sub-representação da categoria nos dados. Como desdobramento, a fundamentação aqui apresentada fornece critérios objetivos para a próxima etapa do projeto, a implementação de um mecanismo de defesa: registrar eventos de segurança com contexto suficiente, proteger a integridade e a confidencialidade dos registros, gerar alertas para comportamentos suspeitos e verificar, por meio de testes, que esses alertas de fato disparam.</w:t>
      </w:r>
    </w:p>
    <w:p>
      <w:pPr>
        <w:pStyle w:val="Normal"/>
        <w:keepNext w:val="true"/>
        <w:spacing w:lineRule="auto" w:line="360" w:before="240" w:after="240"/>
        <w:jc w:val="start"/>
        <w:rPr/>
      </w:pPr>
      <w:r>
        <w:rPr>
          <w:rFonts w:cs="Arial" w:ascii="Arial" w:hAnsi="Arial"/>
          <w:b/>
          <w:bCs/>
          <w:sz w:val="24"/>
          <w:szCs w:val="24"/>
        </w:rPr>
        <w:t>Referências</w:t>
      </w:r>
    </w:p>
    <w:p>
      <w:pPr>
        <w:pStyle w:val="Normal"/>
        <w:spacing w:lineRule="auto" w:line="240" w:before="0" w:after="240"/>
        <w:jc w:val="start"/>
        <w:rPr/>
      </w:pPr>
      <w:r>
        <w:rPr>
          <w:rFonts w:cs="Arial" w:ascii="Arial" w:hAnsi="Arial"/>
          <w:sz w:val="24"/>
          <w:szCs w:val="24"/>
        </w:rPr>
        <w:t xml:space="preserve">ASSOCIAÇÃO BRASILEIRA DE NORMAS TÉCNICAS (ABNT). </w:t>
      </w:r>
      <w:r>
        <w:rPr>
          <w:rFonts w:cs="Arial" w:ascii="Arial" w:hAnsi="Arial"/>
          <w:b/>
          <w:bCs/>
          <w:sz w:val="24"/>
          <w:szCs w:val="24"/>
        </w:rPr>
        <w:t>ABNT NBR ISO/IEC 27002:2022</w:t>
      </w:r>
      <w:r>
        <w:rPr>
          <w:rFonts w:cs="Arial" w:ascii="Arial" w:hAnsi="Arial"/>
          <w:sz w:val="24"/>
          <w:szCs w:val="24"/>
        </w:rPr>
        <w:t>: segurança da informação, segurança cibernética e proteção à privacidade – controles de segurança da informação. Rio de Janeiro: ABNT, 2022.</w:t>
      </w:r>
    </w:p>
    <w:p>
      <w:pPr>
        <w:pStyle w:val="Normal"/>
        <w:spacing w:lineRule="auto" w:line="240" w:before="0" w:after="240"/>
        <w:jc w:val="start"/>
        <w:rPr/>
      </w:pPr>
      <w:r>
        <w:rPr>
          <w:rFonts w:cs="Arial" w:ascii="Arial" w:hAnsi="Arial"/>
          <w:sz w:val="24"/>
          <w:szCs w:val="24"/>
        </w:rPr>
        <w:t xml:space="preserve">AUTORIDADE NACIONAL DE PROTEÇÃO DE DADOS (ANPD). </w:t>
      </w:r>
      <w:r>
        <w:rPr>
          <w:rFonts w:cs="Arial" w:ascii="Arial" w:hAnsi="Arial"/>
          <w:b/>
          <w:bCs/>
          <w:sz w:val="24"/>
          <w:szCs w:val="24"/>
        </w:rPr>
        <w:t>Resolução CD/ANPD nº 15, de 24 de abril de 2024</w:t>
      </w:r>
      <w:r>
        <w:rPr>
          <w:rFonts w:cs="Arial" w:ascii="Arial" w:hAnsi="Arial"/>
          <w:sz w:val="24"/>
          <w:szCs w:val="24"/>
        </w:rPr>
        <w:t>: aprova o Regulamento de Comunicação de Incidente de Segurança. Brasília, DF: ANPD, 2024.</w:t>
      </w:r>
    </w:p>
    <w:p>
      <w:pPr>
        <w:pStyle w:val="Normal"/>
        <w:spacing w:lineRule="auto" w:line="240" w:before="0" w:after="240"/>
        <w:jc w:val="start"/>
        <w:rPr/>
      </w:pPr>
      <w:r>
        <w:rPr>
          <w:rFonts w:cs="Arial" w:ascii="Arial" w:hAnsi="Arial"/>
          <w:sz w:val="24"/>
          <w:szCs w:val="24"/>
        </w:rPr>
        <w:t xml:space="preserve">BRASIL. </w:t>
      </w:r>
      <w:r>
        <w:rPr>
          <w:rFonts w:cs="Arial" w:ascii="Arial" w:hAnsi="Arial"/>
          <w:b/>
          <w:bCs/>
          <w:sz w:val="24"/>
          <w:szCs w:val="24"/>
        </w:rPr>
        <w:t>Lei nº 12.965, de 23 de abril de 2014</w:t>
      </w:r>
      <w:r>
        <w:rPr>
          <w:rFonts w:cs="Arial" w:ascii="Arial" w:hAnsi="Arial"/>
          <w:sz w:val="24"/>
          <w:szCs w:val="24"/>
        </w:rPr>
        <w:t>: estabelece princípios, garantias, direitos e deveres para o uso da Internet no Brasil (Marco Civil da Internet). Brasília, DF: Presidência da República, 2014.</w:t>
      </w:r>
    </w:p>
    <w:p>
      <w:pPr>
        <w:pStyle w:val="Normal"/>
        <w:spacing w:lineRule="auto" w:line="240" w:before="0" w:after="240"/>
        <w:jc w:val="start"/>
        <w:rPr/>
      </w:pPr>
      <w:r>
        <w:rPr>
          <w:rFonts w:cs="Arial" w:ascii="Arial" w:hAnsi="Arial"/>
          <w:sz w:val="24"/>
          <w:szCs w:val="24"/>
        </w:rPr>
        <w:t xml:space="preserve">BRASIL. </w:t>
      </w:r>
      <w:r>
        <w:rPr>
          <w:rFonts w:cs="Arial" w:ascii="Arial" w:hAnsi="Arial"/>
          <w:b/>
          <w:bCs/>
          <w:sz w:val="24"/>
          <w:szCs w:val="24"/>
        </w:rPr>
        <w:t>Lei nº 13.709, de 14 de agosto de 2018</w:t>
      </w:r>
      <w:r>
        <w:rPr>
          <w:rFonts w:cs="Arial" w:ascii="Arial" w:hAnsi="Arial"/>
          <w:sz w:val="24"/>
          <w:szCs w:val="24"/>
        </w:rPr>
        <w:t>: Lei Geral de Proteção de Dados Pessoais (LGPD). Brasília, DF: Presidência da República, 2018.</w:t>
      </w:r>
    </w:p>
    <w:p>
      <w:pPr>
        <w:pStyle w:val="Normal"/>
        <w:spacing w:lineRule="auto" w:line="240" w:before="0" w:after="240"/>
        <w:jc w:val="start"/>
        <w:rPr/>
      </w:pPr>
      <w:r>
        <w:rPr>
          <w:rFonts w:cs="Arial" w:ascii="Arial" w:hAnsi="Arial"/>
          <w:sz w:val="24"/>
          <w:szCs w:val="24"/>
        </w:rPr>
        <w:t xml:space="preserve">CICHONSKI, Paul; MILLAR, Tom; GRANCE, Tim; SCARFONE, Karen. </w:t>
      </w:r>
      <w:r>
        <w:rPr>
          <w:rFonts w:cs="Arial" w:ascii="Arial" w:hAnsi="Arial"/>
          <w:b/>
          <w:bCs/>
          <w:sz w:val="24"/>
          <w:szCs w:val="24"/>
        </w:rPr>
        <w:t>Computer security incident handling guide</w:t>
      </w:r>
      <w:r>
        <w:rPr>
          <w:rFonts w:cs="Arial" w:ascii="Arial" w:hAnsi="Arial"/>
          <w:sz w:val="24"/>
          <w:szCs w:val="24"/>
        </w:rPr>
        <w:t>: NIST Special Publication 800-61, Revision 2. Gaithersburg: National Institute of Standards and Technology, 2012.</w:t>
      </w:r>
    </w:p>
    <w:p>
      <w:pPr>
        <w:pStyle w:val="Normal"/>
        <w:spacing w:lineRule="auto" w:line="240" w:before="0" w:after="240"/>
        <w:jc w:val="start"/>
        <w:rPr/>
      </w:pPr>
      <w:r>
        <w:rPr>
          <w:rFonts w:cs="Arial" w:ascii="Arial" w:hAnsi="Arial"/>
          <w:sz w:val="24"/>
          <w:szCs w:val="24"/>
        </w:rPr>
        <w:t xml:space="preserve">ESTADOS UNIDOS. Câmara dos Representantes. Comitê de Supervisão e Reforma do Governo. </w:t>
      </w:r>
      <w:r>
        <w:rPr>
          <w:rFonts w:cs="Arial" w:ascii="Arial" w:hAnsi="Arial"/>
          <w:b/>
          <w:bCs/>
          <w:sz w:val="24"/>
          <w:szCs w:val="24"/>
        </w:rPr>
        <w:t>The Equifax data breach</w:t>
      </w:r>
      <w:r>
        <w:rPr>
          <w:rFonts w:cs="Arial" w:ascii="Arial" w:hAnsi="Arial"/>
          <w:sz w:val="24"/>
          <w:szCs w:val="24"/>
        </w:rPr>
        <w:t>: majority staff report, 115th Congress. Washington, DC, dez. 2018. Disponível em: https://oversight.house.gov/wp-content/uploads/2018/12/Equifax-Report.pdf. Acesso em: 29 set. 2026.</w:t>
      </w:r>
    </w:p>
    <w:p>
      <w:pPr>
        <w:pStyle w:val="Normal"/>
        <w:spacing w:lineRule="auto" w:line="240" w:before="0" w:after="240"/>
        <w:jc w:val="start"/>
        <w:rPr/>
      </w:pPr>
      <w:r>
        <w:rPr>
          <w:rFonts w:cs="Arial" w:ascii="Arial" w:hAnsi="Arial"/>
          <w:sz w:val="24"/>
          <w:szCs w:val="24"/>
        </w:rPr>
        <w:t xml:space="preserve">INTERNATIONAL ORGANIZATION FOR STANDARDIZATION; INTERNATIONAL ELECTROTECHNICAL COMMISSION (ISO/IEC). </w:t>
      </w:r>
      <w:r>
        <w:rPr>
          <w:rFonts w:cs="Arial" w:ascii="Arial" w:hAnsi="Arial"/>
          <w:b/>
          <w:bCs/>
          <w:sz w:val="24"/>
          <w:szCs w:val="24"/>
        </w:rPr>
        <w:t>ISO/IEC 27001:2022</w:t>
      </w:r>
      <w:r>
        <w:rPr>
          <w:rFonts w:cs="Arial" w:ascii="Arial" w:hAnsi="Arial"/>
          <w:sz w:val="24"/>
          <w:szCs w:val="24"/>
        </w:rPr>
        <w:t>: information security, cybersecurity and privacy protection – information security management systems – requirements. Geneva: ISO, 2022.</w:t>
      </w:r>
    </w:p>
    <w:p>
      <w:pPr>
        <w:pStyle w:val="Normal"/>
        <w:spacing w:lineRule="auto" w:line="240" w:before="0" w:after="240"/>
        <w:jc w:val="start"/>
        <w:rPr/>
      </w:pPr>
      <w:r>
        <w:rPr>
          <w:rFonts w:cs="Arial" w:ascii="Arial" w:hAnsi="Arial"/>
          <w:sz w:val="24"/>
          <w:szCs w:val="24"/>
        </w:rPr>
        <w:t xml:space="preserve">KENT, Karen; SOUPPAYA, Murugiah. </w:t>
      </w:r>
      <w:r>
        <w:rPr>
          <w:rFonts w:cs="Arial" w:ascii="Arial" w:hAnsi="Arial"/>
          <w:b/>
          <w:bCs/>
          <w:sz w:val="24"/>
          <w:szCs w:val="24"/>
        </w:rPr>
        <w:t>Guide to computer security log management</w:t>
      </w:r>
      <w:r>
        <w:rPr>
          <w:rFonts w:cs="Arial" w:ascii="Arial" w:hAnsi="Arial"/>
          <w:sz w:val="24"/>
          <w:szCs w:val="24"/>
        </w:rPr>
        <w:t>: NIST Special Publication 800-92. Gaithersburg: National Institute of Standards and Technology, 2006.</w:t>
      </w:r>
    </w:p>
    <w:p>
      <w:pPr>
        <w:pStyle w:val="Normal"/>
        <w:spacing w:lineRule="auto" w:line="240" w:before="0" w:after="240"/>
        <w:jc w:val="start"/>
        <w:rPr/>
      </w:pPr>
      <w:r>
        <w:rPr>
          <w:rFonts w:cs="Arial" w:ascii="Arial" w:hAnsi="Arial"/>
          <w:sz w:val="24"/>
          <w:szCs w:val="24"/>
        </w:rPr>
        <w:t xml:space="preserve">MITRE. </w:t>
      </w:r>
      <w:r>
        <w:rPr>
          <w:rFonts w:cs="Arial" w:ascii="Arial" w:hAnsi="Arial"/>
          <w:b/>
          <w:bCs/>
          <w:sz w:val="24"/>
          <w:szCs w:val="24"/>
        </w:rPr>
        <w:t>CWE-117</w:t>
      </w:r>
      <w:r>
        <w:rPr>
          <w:rFonts w:cs="Arial" w:ascii="Arial" w:hAnsi="Arial"/>
          <w:sz w:val="24"/>
          <w:szCs w:val="24"/>
        </w:rPr>
        <w:t>: improper output neutralization for logs. [S. l.]: MITRE, [s.d.]a. Disponível em: https://cwe.mitre.org/data/definitions/117.html. Acesso em: 29 set. 2026.</w:t>
      </w:r>
    </w:p>
    <w:p>
      <w:pPr>
        <w:pStyle w:val="Normal"/>
        <w:spacing w:lineRule="auto" w:line="240" w:before="0" w:after="240"/>
        <w:jc w:val="start"/>
        <w:rPr/>
      </w:pPr>
      <w:r>
        <w:rPr>
          <w:rFonts w:cs="Arial" w:ascii="Arial" w:hAnsi="Arial"/>
          <w:sz w:val="24"/>
          <w:szCs w:val="24"/>
        </w:rPr>
        <w:t xml:space="preserve">MITRE. </w:t>
      </w:r>
      <w:r>
        <w:rPr>
          <w:rFonts w:cs="Arial" w:ascii="Arial" w:hAnsi="Arial"/>
          <w:b/>
          <w:bCs/>
          <w:sz w:val="24"/>
          <w:szCs w:val="24"/>
        </w:rPr>
        <w:t>CWE-223</w:t>
      </w:r>
      <w:r>
        <w:rPr>
          <w:rFonts w:cs="Arial" w:ascii="Arial" w:hAnsi="Arial"/>
          <w:sz w:val="24"/>
          <w:szCs w:val="24"/>
        </w:rPr>
        <w:t>: omission of security-relevant information. [S. l.]: MITRE, [s.d.]b. Disponível em: https://cwe.mitre.org/data/definitions/223.html. Acesso em: 29 set. 2026.</w:t>
      </w:r>
    </w:p>
    <w:p>
      <w:pPr>
        <w:pStyle w:val="Normal"/>
        <w:spacing w:lineRule="auto" w:line="240" w:before="0" w:after="240"/>
        <w:jc w:val="start"/>
        <w:rPr/>
      </w:pPr>
      <w:r>
        <w:rPr>
          <w:rFonts w:cs="Arial" w:ascii="Arial" w:hAnsi="Arial"/>
          <w:sz w:val="24"/>
          <w:szCs w:val="24"/>
        </w:rPr>
        <w:t xml:space="preserve">MITRE. </w:t>
      </w:r>
      <w:r>
        <w:rPr>
          <w:rFonts w:cs="Arial" w:ascii="Arial" w:hAnsi="Arial"/>
          <w:b/>
          <w:bCs/>
          <w:sz w:val="24"/>
          <w:szCs w:val="24"/>
        </w:rPr>
        <w:t>CWE-532</w:t>
      </w:r>
      <w:r>
        <w:rPr>
          <w:rFonts w:cs="Arial" w:ascii="Arial" w:hAnsi="Arial"/>
          <w:sz w:val="24"/>
          <w:szCs w:val="24"/>
        </w:rPr>
        <w:t>: insertion of sensitive information into log file. [S. l.]: MITRE, [s.d.]c. Disponível em: https://cwe.mitre.org/data/definitions/532.html. Acesso em: 29 set. 2026.</w:t>
      </w:r>
    </w:p>
    <w:p>
      <w:pPr>
        <w:pStyle w:val="Normal"/>
        <w:spacing w:lineRule="auto" w:line="240" w:before="0" w:after="240"/>
        <w:jc w:val="start"/>
        <w:rPr/>
      </w:pPr>
      <w:r>
        <w:rPr>
          <w:rFonts w:cs="Arial" w:ascii="Arial" w:hAnsi="Arial"/>
          <w:sz w:val="24"/>
          <w:szCs w:val="24"/>
        </w:rPr>
        <w:t xml:space="preserve">MITRE. </w:t>
      </w:r>
      <w:r>
        <w:rPr>
          <w:rFonts w:cs="Arial" w:ascii="Arial" w:hAnsi="Arial"/>
          <w:b/>
          <w:bCs/>
          <w:sz w:val="24"/>
          <w:szCs w:val="24"/>
        </w:rPr>
        <w:t>CWE-778</w:t>
      </w:r>
      <w:r>
        <w:rPr>
          <w:rFonts w:cs="Arial" w:ascii="Arial" w:hAnsi="Arial"/>
          <w:sz w:val="24"/>
          <w:szCs w:val="24"/>
        </w:rPr>
        <w:t>: insufficient logging. [S. l.]: MITRE, [s.d.]d. Disponível em: https://cwe.mitre.org/data/definitions/778.html. Acesso em: 29 set. 2026.</w:t>
      </w:r>
    </w:p>
    <w:p>
      <w:pPr>
        <w:pStyle w:val="Normal"/>
        <w:spacing w:lineRule="auto" w:line="240" w:before="0" w:after="240"/>
        <w:jc w:val="start"/>
        <w:rPr/>
      </w:pPr>
      <w:r>
        <w:rPr>
          <w:rFonts w:cs="Arial" w:ascii="Arial" w:hAnsi="Arial"/>
          <w:sz w:val="24"/>
          <w:szCs w:val="24"/>
        </w:rPr>
        <w:t xml:space="preserve">OPEN WORLDWIDE APPLICATION SECURITY PROJECT (OWASP). </w:t>
      </w:r>
      <w:r>
        <w:rPr>
          <w:rFonts w:cs="Arial" w:ascii="Arial" w:hAnsi="Arial"/>
          <w:b/>
          <w:bCs/>
          <w:sz w:val="24"/>
          <w:szCs w:val="24"/>
        </w:rPr>
        <w:t>A09:2021 – Security Logging and Monitoring Failures</w:t>
      </w:r>
      <w:r>
        <w:rPr>
          <w:rFonts w:cs="Arial" w:ascii="Arial" w:hAnsi="Arial"/>
          <w:sz w:val="24"/>
          <w:szCs w:val="24"/>
        </w:rPr>
        <w:t xml:space="preserve">. </w:t>
      </w:r>
      <w:r>
        <w:rPr>
          <w:rFonts w:cs="Arial" w:ascii="Arial" w:hAnsi="Arial"/>
          <w:i/>
          <w:iCs/>
          <w:sz w:val="24"/>
          <w:szCs w:val="24"/>
        </w:rPr>
        <w:t>In</w:t>
      </w:r>
      <w:r>
        <w:rPr>
          <w:rFonts w:cs="Arial" w:ascii="Arial" w:hAnsi="Arial"/>
          <w:sz w:val="24"/>
          <w:szCs w:val="24"/>
        </w:rPr>
        <w:t>: OWASP Top 10:2021. [S. l.]: OWASP, 2021. Disponível em: https://owasp.org/Top10/2021/A09_2021-Security_Logging_and_Monitoring_Failures/. Acesso em: 29 set. 2026.</w:t>
      </w:r>
    </w:p>
    <w:p>
      <w:pPr>
        <w:pStyle w:val="Normal"/>
        <w:spacing w:lineRule="auto" w:line="240" w:before="0" w:after="240"/>
        <w:jc w:val="start"/>
        <w:rPr/>
      </w:pPr>
      <w:r>
        <w:rPr>
          <w:rFonts w:cs="Arial" w:ascii="Arial" w:hAnsi="Arial"/>
          <w:sz w:val="24"/>
          <w:szCs w:val="24"/>
        </w:rPr>
        <w:t xml:space="preserve">OPEN WORLDWIDE APPLICATION SECURITY PROJECT (OWASP). </w:t>
      </w:r>
      <w:r>
        <w:rPr>
          <w:rFonts w:cs="Arial" w:ascii="Arial" w:hAnsi="Arial"/>
          <w:b/>
          <w:bCs/>
          <w:sz w:val="24"/>
          <w:szCs w:val="24"/>
        </w:rPr>
        <w:t>A09:2025 – Security Logging &amp; Alerting Failures</w:t>
      </w:r>
      <w:r>
        <w:rPr>
          <w:rFonts w:cs="Arial" w:ascii="Arial" w:hAnsi="Arial"/>
          <w:sz w:val="24"/>
          <w:szCs w:val="24"/>
        </w:rPr>
        <w:t xml:space="preserve">. </w:t>
      </w:r>
      <w:r>
        <w:rPr>
          <w:rFonts w:cs="Arial" w:ascii="Arial" w:hAnsi="Arial"/>
          <w:i/>
          <w:iCs/>
          <w:sz w:val="24"/>
          <w:szCs w:val="24"/>
        </w:rPr>
        <w:t>In</w:t>
      </w:r>
      <w:r>
        <w:rPr>
          <w:rFonts w:cs="Arial" w:ascii="Arial" w:hAnsi="Arial"/>
          <w:sz w:val="24"/>
          <w:szCs w:val="24"/>
        </w:rPr>
        <w:t>: OWASP Top 10:2025. [S. l.]: OWASP, 2025a. Disponível em: https://owasp.org/Top10/2025/A09_2025-Security_Logging_and_Alerting_Failures/. Acesso em: 29 set. 2026.</w:t>
      </w:r>
    </w:p>
    <w:p>
      <w:pPr>
        <w:pStyle w:val="Normal"/>
        <w:spacing w:lineRule="auto" w:line="240" w:before="0" w:after="240"/>
        <w:jc w:val="start"/>
        <w:rPr/>
      </w:pPr>
      <w:r>
        <w:rPr>
          <w:rFonts w:cs="Arial" w:ascii="Arial" w:hAnsi="Arial"/>
          <w:sz w:val="24"/>
          <w:szCs w:val="24"/>
        </w:rPr>
        <w:t xml:space="preserve">OPEN WORLDWIDE APPLICATION SECURITY PROJECT (OWASP). </w:t>
      </w:r>
      <w:r>
        <w:rPr>
          <w:rFonts w:cs="Arial" w:ascii="Arial" w:hAnsi="Arial"/>
          <w:b/>
          <w:bCs/>
          <w:sz w:val="24"/>
          <w:szCs w:val="24"/>
        </w:rPr>
        <w:t>Application Security Verification Standard (ASVS)</w:t>
      </w:r>
      <w:r>
        <w:rPr>
          <w:rFonts w:cs="Arial" w:ascii="Arial" w:hAnsi="Arial"/>
          <w:sz w:val="24"/>
          <w:szCs w:val="24"/>
        </w:rPr>
        <w:t>: version 5.0.0, V16 Security Logging and Error Handling. [S. l.]: OWASP, 2025b. Disponível em: https://github.com/OWASP/ASVS/blob/v5.0.0/5.0/en/0x25-V16-Security-Logging-and-Error-Handling.md. Acesso em: 29 set. 2026.</w:t>
      </w:r>
    </w:p>
    <w:p>
      <w:pPr>
        <w:pStyle w:val="Normal"/>
        <w:spacing w:lineRule="auto" w:line="240" w:before="0" w:after="240"/>
        <w:jc w:val="start"/>
        <w:rPr/>
      </w:pPr>
      <w:r>
        <w:rPr>
          <w:rFonts w:cs="Arial" w:ascii="Arial" w:hAnsi="Arial"/>
          <w:sz w:val="24"/>
          <w:szCs w:val="24"/>
        </w:rPr>
        <w:t xml:space="preserve">OPEN WORLDWIDE APPLICATION SECURITY PROJECT (OWASP). </w:t>
      </w:r>
      <w:r>
        <w:rPr>
          <w:rFonts w:cs="Arial" w:ascii="Arial" w:hAnsi="Arial"/>
          <w:b/>
          <w:bCs/>
          <w:sz w:val="24"/>
          <w:szCs w:val="24"/>
        </w:rPr>
        <w:t>Logging cheat sheet</w:t>
      </w:r>
      <w:r>
        <w:rPr>
          <w:rFonts w:cs="Arial" w:ascii="Arial" w:hAnsi="Arial"/>
          <w:sz w:val="24"/>
          <w:szCs w:val="24"/>
        </w:rPr>
        <w:t>. [S. l.]: OWASP, [s.d.]. Disponível em: https://cheatsheetseries.owasp.org/cheatsheets/Logging_Cheat_Sheet.html. Acesso em: 29 set. 2026.</w:t>
      </w:r>
    </w:p>
    <w:sectPr>
      <w:headerReference w:type="even" r:id="rId2"/>
      <w:headerReference w:type="default" r:id="rId3"/>
      <w:headerReference w:type="first" r:id="rId4"/>
      <w:type w:val="nextPage"/>
      <w:pgSz w:w="11906" w:h="16838"/>
      <w:pgMar w:left="1701" w:right="1134" w:gutter="0" w:header="709" w:top="1701"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Arial" w:hAnsi="Arial" w:cs="Arial"/>
        <w:sz w:val="20"/>
        <w:szCs w:val="20"/>
      </w:rPr>
    </w:pPr>
    <w:r>
      <w:rPr>
        <w:rFonts w:cs="Arial" w:ascii="Arial" w:hAnsi="Arial"/>
        <w:sz w:val="20"/>
        <w:szCs w:val="20"/>
      </w:rPr>
      <w:fldChar w:fldCharType="begin"/>
    </w:r>
    <w:r>
      <w:rPr>
        <w:rFonts w:cs="Arial" w:ascii="Arial" w:hAnsi="Arial"/>
        <w:sz w:val="20"/>
        <w:szCs w:val="20"/>
      </w:rPr>
      <w:instrText xml:space="preserve"> PAGE </w:instrText>
    </w:r>
    <w:r>
      <w:rPr>
        <w:rFonts w:cs="Arial" w:ascii="Arial" w:hAnsi="Arial"/>
        <w:sz w:val="20"/>
        <w:szCs w:val="20"/>
      </w:rPr>
      <w:fldChar w:fldCharType="separate"/>
    </w:r>
    <w:r>
      <w:rPr>
        <w:rFonts w:cs="Arial" w:ascii="Arial" w:hAnsi="Arial"/>
        <w:sz w:val="20"/>
        <w:szCs w:val="20"/>
      </w:rPr>
      <w:t>12</w:t>
    </w:r>
    <w:r>
      <w:rPr>
        <w:rFonts w:cs="Arial" w:ascii="Arial" w:hAnsi="Arial"/>
        <w:sz w:val="20"/>
        <w:szCs w:val="20"/>
      </w:rPr>
      <w:fldChar w:fldCharType="end"/>
    </w:r>
  </w:p>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mc:AlternateContent>
        <mc:Choice Requires="wps">
          <w:drawing>
            <wp:anchor distT="21590" distB="26035" distL="19050" distR="19050" simplePos="0" relativeHeight="2" behindDoc="1" locked="0" layoutInCell="1" allowOverlap="1" wp14:anchorId="40C6A706">
              <wp:simplePos x="0" y="0"/>
              <wp:positionH relativeFrom="column">
                <wp:posOffset>24130</wp:posOffset>
              </wp:positionH>
              <wp:positionV relativeFrom="paragraph">
                <wp:posOffset>-57150</wp:posOffset>
              </wp:positionV>
              <wp:extent cx="4095750" cy="635"/>
              <wp:effectExtent l="19685" t="19050" r="19050" b="20320"/>
              <wp:wrapNone/>
              <wp:docPr id="1" name="Conector de Seta Reta 3"/>
              <a:graphic xmlns:a="http://schemas.openxmlformats.org/drawingml/2006/main">
                <a:graphicData uri="http://schemas.microsoft.com/office/word/2010/wordprocessingShape">
                  <wps:wsp>
                    <wps:cNvSpPr/>
                    <wps:spPr>
                      <a:xfrm flipH="1">
                        <a:off x="0" y="0"/>
                        <a:ext cx="4095720" cy="720"/>
                      </a:xfrm>
                      <a:prstGeom prst="straightConnector1">
                        <a:avLst/>
                      </a:prstGeom>
                      <a:noFill/>
                      <a:ln w="38100">
                        <a:solidFill>
                          <a:srgbClr val="EC0086"/>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9pt;margin-top:-4.5pt;width:322.45pt;height:0pt;flip:x;mso-wrap-style:none;v-text-anchor:middle" wp14:anchorId="40C6A706" type="_x0000_t32" path="m0,0l-2147483648,-2147483647e">
              <v:fill o:detectmouseclick="t" on="false"/>
              <v:stroke color="#ec0086" weight="38160" joinstyle="round" endcap="flat"/>
              <w10:wrap type="none"/>
            </v:shape>
          </w:pict>
        </mc:Fallback>
      </mc:AlternateContent>
      <w:drawing>
        <wp:anchor distT="0" distB="0" distL="114300" distR="114300" simplePos="0" relativeHeight="3" behindDoc="1" locked="0" layoutInCell="0" allowOverlap="1">
          <wp:simplePos x="0" y="0"/>
          <wp:positionH relativeFrom="column">
            <wp:posOffset>4034790</wp:posOffset>
          </wp:positionH>
          <wp:positionV relativeFrom="paragraph">
            <wp:posOffset>-76200</wp:posOffset>
          </wp:positionV>
          <wp:extent cx="1695450" cy="69532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
                  <a:stretch>
                    <a:fillRect/>
                  </a:stretch>
                </pic:blipFill>
                <pic:spPr bwMode="auto">
                  <a:xfrm>
                    <a:off x="0" y="0"/>
                    <a:ext cx="1695450" cy="695325"/>
                  </a:xfrm>
                  <a:prstGeom prst="rect">
                    <a:avLst/>
                  </a:prstGeom>
                  <a:noFill/>
                </pic:spPr>
              </pic:pic>
            </a:graphicData>
          </a:graphic>
        </wp:anchor>
      </w:drawing>
    </w:r>
    <w:r>
      <w:rPr/>
      <w:t xml:space="preserve"> </w:t>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4752"/>
    <w:pPr>
      <w:widowControl/>
      <w:bidi w:val="0"/>
      <w:spacing w:lineRule="auto" w:line="259" w:before="0" w:after="160"/>
      <w:jc w:val="start"/>
    </w:pPr>
    <w:rPr>
      <w:rFonts w:ascii="Calibri" w:hAnsi="Calibri" w:eastAsia="Calibri" w:cs="Times New Roman" w:asciiTheme="minorHAnsi" w:eastAsiaTheme="minorHAnsi" w:hAnsiTheme="minorHAnsi"/>
      <w:color w:val="auto"/>
      <w:kern w:val="0"/>
      <w:sz w:val="22"/>
      <w:szCs w:val="22"/>
      <w:lang w:val="pt-BR" w:eastAsia="en-US" w:bidi="ar-SA"/>
    </w:rPr>
  </w:style>
  <w:style w:type="character" w:styleId="DefaultParagraphFont" w:default="1">
    <w:name w:val="Default Paragraph Font"/>
    <w:uiPriority w:val="1"/>
    <w:semiHidden/>
    <w:unhideWhenUsed/>
    <w:qFormat/>
    <w:rPr/>
  </w:style>
  <w:style w:type="character" w:styleId="BookTitle">
    <w:name w:val="Book Title"/>
    <w:uiPriority w:val="33"/>
    <w:qFormat/>
    <w:rsid w:val="000c4752"/>
    <w:rPr>
      <w:b/>
      <w:bCs/>
      <w:smallCaps/>
      <w:spacing w:val="5"/>
    </w:rPr>
  </w:style>
  <w:style w:type="character" w:styleId="CabealhoChar" w:customStyle="1">
    <w:name w:val="Cabeçalho Char"/>
    <w:basedOn w:val="DefaultParagraphFont"/>
    <w:uiPriority w:val="99"/>
    <w:qFormat/>
    <w:rsid w:val="000c4752"/>
    <w:rPr>
      <w:rFonts w:ascii="Calibri" w:hAnsi="Calibri" w:eastAsia="Calibri" w:cs="Times New Roma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CabealhoChar"/>
    <w:uiPriority w:val="99"/>
    <w:unhideWhenUsed/>
    <w:rsid w:val="000c4752"/>
    <w:pPr>
      <w:tabs>
        <w:tab w:val="clear" w:pos="708"/>
        <w:tab w:val="center" w:pos="4252" w:leader="none"/>
        <w:tab w:val="right" w:pos="8504" w:leader="none"/>
      </w:tabs>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LibreOffice/26.2.5.2$Linux_X86_64 LibreOffice_project/6d2b0d33fb0f5da53a12f98bed3e9973e56ff1f0</Application>
  <AppVersion>15.0000</AppVersion>
  <Pages>12</Pages>
  <Words>3995</Words>
  <Characters>22402</Characters>
  <CharactersWithSpaces>26338</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2023-02-21T15:58:00Z</dcterms:created>
  <dc:creator>Felipe Pereira da Silva</dc:creator>
  <dc:description/>
  <dc:language>pt-BR</dc:language>
  <cp:lastModifiedBy/>
  <dcterms:modified xsi:type="dcterms:W3CDTF">2026-09-29T12:48:08Z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59b2e0-2ec4-47e6-afc1-6e3f8b684f6a_ActionId">
    <vt:lpwstr>d2de4a40-5706-4fdd-8721-0662133dd2b2</vt:lpwstr>
  </property>
  <property fmtid="{D5CDD505-2E9C-101B-9397-08002B2CF9AE}" pid="3" name="MSIP_Label_6459b2e0-2ec4-47e6-afc1-6e3f8b684f6a_ContentBits">
    <vt:lpwstr>0</vt:lpwstr>
  </property>
  <property fmtid="{D5CDD505-2E9C-101B-9397-08002B2CF9AE}" pid="4" name="MSIP_Label_6459b2e0-2ec4-47e6-afc1-6e3f8b684f6a_Enabled">
    <vt:lpwstr>true</vt:lpwstr>
  </property>
  <property fmtid="{D5CDD505-2E9C-101B-9397-08002B2CF9AE}" pid="5" name="MSIP_Label_6459b2e0-2ec4-47e6-afc1-6e3f8b684f6a_Method">
    <vt:lpwstr>Privileged</vt:lpwstr>
  </property>
  <property fmtid="{D5CDD505-2E9C-101B-9397-08002B2CF9AE}" pid="6" name="MSIP_Label_6459b2e0-2ec4-47e6-afc1-6e3f8b684f6a_Name">
    <vt:lpwstr>6459b2e0-2ec4-47e6-afc1-6e3f8b684f6a</vt:lpwstr>
  </property>
  <property fmtid="{D5CDD505-2E9C-101B-9397-08002B2CF9AE}" pid="7" name="MSIP_Label_6459b2e0-2ec4-47e6-afc1-6e3f8b684f6a_SetDate">
    <vt:lpwstr>2023-02-21T19:12:29Z</vt:lpwstr>
  </property>
  <property fmtid="{D5CDD505-2E9C-101B-9397-08002B2CF9AE}" pid="8" name="MSIP_Label_6459b2e0-2ec4-47e6-afc1-6e3f8b684f6a_SiteId">
    <vt:lpwstr>b417b620-2ae9-4a83-ab6c-7fbd828bda1d</vt:lpwstr>
  </property>
</Properties>
</file>