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7B10" w:rsidRDefault="00797B10" w:rsidP="00797B10">
      <w:pPr>
        <w:pStyle w:val="Sinespaciado"/>
        <w:rPr>
          <w:rFonts w:asciiTheme="majorHAnsi" w:hAnsiTheme="majorHAnsi"/>
          <w:b/>
          <w:sz w:val="28"/>
          <w:szCs w:val="28"/>
        </w:rPr>
      </w:pPr>
      <w:r w:rsidRPr="00797B10">
        <w:rPr>
          <w:rFonts w:asciiTheme="majorHAnsi" w:hAnsiTheme="majorHAnsi"/>
          <w:b/>
          <w:color w:val="365F91" w:themeColor="accent1" w:themeShade="BF"/>
          <w:sz w:val="28"/>
          <w:szCs w:val="28"/>
        </w:rPr>
        <w:t>POLÍTICA DE BACK UP</w:t>
      </w:r>
      <w:r w:rsidR="00934B67" w:rsidRPr="00797B10">
        <w:rPr>
          <w:rFonts w:asciiTheme="majorHAnsi" w:hAnsiTheme="majorHAnsi"/>
          <w:b/>
          <w:sz w:val="28"/>
          <w:szCs w:val="28"/>
        </w:rPr>
        <w:tab/>
      </w:r>
    </w:p>
    <w:p w:rsidR="00797B10" w:rsidRPr="00797B10" w:rsidRDefault="00797B10" w:rsidP="00797B10">
      <w:pPr>
        <w:pStyle w:val="Sinespaciado"/>
        <w:rPr>
          <w:rFonts w:asciiTheme="majorHAnsi" w:hAnsiTheme="majorHAnsi"/>
          <w:b/>
          <w:sz w:val="10"/>
          <w:szCs w:val="10"/>
        </w:rPr>
      </w:pPr>
    </w:p>
    <w:p w:rsidR="003A09C3" w:rsidRPr="00934B67" w:rsidRDefault="00797B10" w:rsidP="00797B10">
      <w:pPr>
        <w:pStyle w:val="Default"/>
        <w:jc w:val="both"/>
        <w:rPr>
          <w:rFonts w:asciiTheme="minorHAnsi" w:hAnsiTheme="minorHAnsi" w:cstheme="minorHAnsi"/>
          <w:sz w:val="22"/>
          <w:szCs w:val="22"/>
        </w:rPr>
      </w:pPr>
      <w:r>
        <w:rPr>
          <w:rFonts w:asciiTheme="minorHAnsi" w:hAnsiTheme="minorHAnsi" w:cstheme="minorHAnsi"/>
          <w:sz w:val="22"/>
          <w:szCs w:val="22"/>
        </w:rPr>
        <w:tab/>
      </w:r>
      <w:r w:rsidR="00934B67" w:rsidRPr="00934B67">
        <w:rPr>
          <w:rFonts w:asciiTheme="minorHAnsi" w:hAnsiTheme="minorHAnsi" w:cstheme="minorHAnsi"/>
          <w:sz w:val="22"/>
          <w:szCs w:val="22"/>
        </w:rPr>
        <w:t xml:space="preserve"> La copia de seguridad de las bases de datos se realiza diariamente de manera automática. Para lograr esto, </w:t>
      </w:r>
      <w:r w:rsidR="00BB2187" w:rsidRPr="00934B67">
        <w:rPr>
          <w:rFonts w:asciiTheme="minorHAnsi" w:hAnsiTheme="minorHAnsi" w:cstheme="minorHAnsi"/>
          <w:sz w:val="22"/>
          <w:szCs w:val="22"/>
        </w:rPr>
        <w:t>se s</w:t>
      </w:r>
      <w:r w:rsidR="00934B67" w:rsidRPr="00934B67">
        <w:rPr>
          <w:rFonts w:asciiTheme="minorHAnsi" w:hAnsiTheme="minorHAnsi" w:cstheme="minorHAnsi"/>
          <w:sz w:val="22"/>
          <w:szCs w:val="22"/>
        </w:rPr>
        <w:t>iguió</w:t>
      </w:r>
      <w:r w:rsidR="00BB2187" w:rsidRPr="00934B67">
        <w:rPr>
          <w:rFonts w:asciiTheme="minorHAnsi" w:hAnsiTheme="minorHAnsi" w:cstheme="minorHAnsi"/>
          <w:sz w:val="22"/>
          <w:szCs w:val="22"/>
        </w:rPr>
        <w:t xml:space="preserve"> el siguiente procedimiento, que básicamente realiza el backup vía "script" a través de las tareas programadas de Windows:</w:t>
      </w:r>
    </w:p>
    <w:p w:rsidR="00BB2187" w:rsidRPr="002F764C" w:rsidRDefault="00BB2187" w:rsidP="00797B10">
      <w:pPr>
        <w:pStyle w:val="Sinespaciado"/>
        <w:jc w:val="both"/>
        <w:rPr>
          <w:sz w:val="10"/>
          <w:szCs w:val="10"/>
        </w:rPr>
      </w:pPr>
    </w:p>
    <w:p w:rsidR="00AC76FE" w:rsidRDefault="00BB2187" w:rsidP="00797B10">
      <w:pPr>
        <w:pStyle w:val="Sinespaciado"/>
        <w:numPr>
          <w:ilvl w:val="0"/>
          <w:numId w:val="3"/>
        </w:numPr>
        <w:ind w:left="426"/>
        <w:jc w:val="both"/>
      </w:pPr>
      <w:r w:rsidRPr="00AC76FE">
        <w:t xml:space="preserve">Buscamos el ejecutable de "sqlcmd.exe". En nuestro caso, para SLQ Express 2008 se encuentra en: </w:t>
      </w:r>
      <w:r w:rsidRPr="00E053A8">
        <w:rPr>
          <w:b/>
        </w:rPr>
        <w:t>"C:\Program Files\Microsoft SQL Server\100\Tools\Binn\sqlcmd.exe"</w:t>
      </w:r>
      <w:r w:rsidR="00AC76FE" w:rsidRPr="00E053A8">
        <w:rPr>
          <w:b/>
        </w:rPr>
        <w:t>.</w:t>
      </w:r>
    </w:p>
    <w:p w:rsidR="00AC76FE" w:rsidRPr="002F764C" w:rsidRDefault="00AC76FE" w:rsidP="00797B10">
      <w:pPr>
        <w:pStyle w:val="Sinespaciado"/>
        <w:ind w:left="426"/>
        <w:jc w:val="both"/>
        <w:rPr>
          <w:sz w:val="10"/>
          <w:szCs w:val="10"/>
        </w:rPr>
      </w:pPr>
    </w:p>
    <w:p w:rsidR="00BB2187" w:rsidRDefault="00BB2187" w:rsidP="00797B10">
      <w:pPr>
        <w:pStyle w:val="Sinespaciado"/>
        <w:numPr>
          <w:ilvl w:val="0"/>
          <w:numId w:val="3"/>
        </w:numPr>
        <w:ind w:left="426"/>
        <w:jc w:val="both"/>
      </w:pPr>
      <w:r w:rsidRPr="00AC76FE">
        <w:t>Desde la interfaz gráfica del Management Studio</w:t>
      </w:r>
      <w:r w:rsidR="00A11ACE" w:rsidRPr="00AC76FE">
        <w:t>,</w:t>
      </w:r>
      <w:r w:rsidR="00B43004">
        <w:t xml:space="preserve"> </w:t>
      </w:r>
      <w:r w:rsidRPr="00AC76FE">
        <w:t>podemos seguir lo</w:t>
      </w:r>
      <w:r w:rsidR="00A11ACE" w:rsidRPr="00AC76FE">
        <w:t>s pasos para realizar el backup: click derecho sobre la base de datos-&gt; Tareas -&gt; Copia de Seguridad.</w:t>
      </w:r>
    </w:p>
    <w:p w:rsidR="00AC76FE" w:rsidRPr="00AC76FE" w:rsidRDefault="00AC76FE" w:rsidP="00AC76FE">
      <w:pPr>
        <w:pStyle w:val="Sinespaciado"/>
        <w:ind w:left="426"/>
        <w:jc w:val="both"/>
        <w:rPr>
          <w:sz w:val="10"/>
          <w:szCs w:val="10"/>
        </w:rPr>
      </w:pPr>
    </w:p>
    <w:p w:rsidR="00A11ACE" w:rsidRDefault="00B43004" w:rsidP="00AC76FE">
      <w:pPr>
        <w:pStyle w:val="Sinespaciado"/>
        <w:jc w:val="center"/>
        <w:rPr>
          <w:rFonts w:ascii="Arial" w:hAnsi="Arial" w:cs="Arial"/>
          <w:color w:val="222222"/>
          <w:sz w:val="20"/>
          <w:szCs w:val="20"/>
        </w:rPr>
      </w:pPr>
      <w:r>
        <w:rPr>
          <w:rFonts w:ascii="Arial" w:hAnsi="Arial" w:cs="Arial"/>
          <w:noProof/>
          <w:color w:val="222222"/>
          <w:sz w:val="20"/>
          <w:szCs w:val="20"/>
          <w:lang w:eastAsia="es-AR"/>
        </w:rPr>
        <w:drawing>
          <wp:inline distT="0" distB="0" distL="0" distR="0">
            <wp:extent cx="4927135" cy="2941223"/>
            <wp:effectExtent l="19050" t="0" r="6815"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29497" cy="2942633"/>
                    </a:xfrm>
                    <a:prstGeom prst="rect">
                      <a:avLst/>
                    </a:prstGeom>
                    <a:noFill/>
                    <a:ln w="9525">
                      <a:noFill/>
                      <a:miter lim="800000"/>
                      <a:headEnd/>
                      <a:tailEnd/>
                    </a:ln>
                  </pic:spPr>
                </pic:pic>
              </a:graphicData>
            </a:graphic>
          </wp:inline>
        </w:drawing>
      </w:r>
    </w:p>
    <w:p w:rsidR="00EB5EB2" w:rsidRPr="002F764C" w:rsidRDefault="00EB5EB2" w:rsidP="00EB5EB2">
      <w:pPr>
        <w:pStyle w:val="Sinespaciado"/>
        <w:jc w:val="both"/>
        <w:rPr>
          <w:rFonts w:ascii="Arial" w:hAnsi="Arial" w:cs="Arial"/>
          <w:color w:val="222222"/>
          <w:sz w:val="10"/>
          <w:szCs w:val="10"/>
        </w:rPr>
      </w:pPr>
    </w:p>
    <w:p w:rsidR="00AC76FE" w:rsidRDefault="00EB5EB2" w:rsidP="00AC76FE">
      <w:pPr>
        <w:pStyle w:val="Sinespaciado"/>
        <w:jc w:val="both"/>
      </w:pPr>
      <w:r>
        <w:tab/>
      </w:r>
      <w:r w:rsidR="00A11ACE" w:rsidRPr="00AC76FE">
        <w:t>Dentro del asistente seleccionamos la ruta donde deseamos guardar nuestro backup y las opciones que deseamos. Luego hacemos clic en el botón que nos permite generar el script, y seleccionamos la opción</w:t>
      </w:r>
      <w:r w:rsidRPr="00AC76FE">
        <w:t xml:space="preserve"> “Generar script de acción en ventana Nueva Consulta”</w:t>
      </w:r>
      <w:r w:rsidR="00A11ACE" w:rsidRPr="00AC76FE">
        <w:t xml:space="preserve"> y guardamos el archivo o </w:t>
      </w:r>
      <w:r w:rsidRPr="00AC76FE">
        <w:t xml:space="preserve">bien </w:t>
      </w:r>
      <w:r w:rsidR="00A11ACE" w:rsidRPr="00AC76FE">
        <w:t>seleccionamos  "Generar script de acción en archivo"</w:t>
      </w:r>
      <w:r w:rsidRPr="00AC76FE">
        <w:t>.</w:t>
      </w:r>
    </w:p>
    <w:p w:rsidR="00E053A8" w:rsidRPr="00E053A8" w:rsidRDefault="00E053A8" w:rsidP="00AC76FE">
      <w:pPr>
        <w:pStyle w:val="Sinespaciado"/>
        <w:jc w:val="both"/>
        <w:rPr>
          <w:sz w:val="8"/>
          <w:szCs w:val="8"/>
        </w:rPr>
      </w:pPr>
    </w:p>
    <w:p w:rsidR="00EB5EB2" w:rsidRDefault="00B43004" w:rsidP="002F764C">
      <w:pPr>
        <w:pStyle w:val="Sinespaciado"/>
        <w:jc w:val="center"/>
        <w:rPr>
          <w:rFonts w:ascii="Arial" w:hAnsi="Arial" w:cs="Arial"/>
          <w:color w:val="222222"/>
          <w:sz w:val="20"/>
          <w:szCs w:val="20"/>
        </w:rPr>
      </w:pPr>
      <w:r>
        <w:rPr>
          <w:rFonts w:ascii="Arial" w:hAnsi="Arial" w:cs="Arial"/>
          <w:noProof/>
          <w:color w:val="222222"/>
          <w:sz w:val="20"/>
          <w:szCs w:val="20"/>
          <w:lang w:eastAsia="es-AR"/>
        </w:rPr>
        <w:drawing>
          <wp:inline distT="0" distB="0" distL="0" distR="0">
            <wp:extent cx="5013062" cy="2721278"/>
            <wp:effectExtent l="1905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016587" cy="2723191"/>
                    </a:xfrm>
                    <a:prstGeom prst="rect">
                      <a:avLst/>
                    </a:prstGeom>
                    <a:noFill/>
                    <a:ln w="9525">
                      <a:noFill/>
                      <a:miter lim="800000"/>
                      <a:headEnd/>
                      <a:tailEnd/>
                    </a:ln>
                  </pic:spPr>
                </pic:pic>
              </a:graphicData>
            </a:graphic>
          </wp:inline>
        </w:drawing>
      </w:r>
    </w:p>
    <w:p w:rsidR="00AC76FE" w:rsidRDefault="00EB5EB2" w:rsidP="00AC76FE">
      <w:pPr>
        <w:pStyle w:val="Sinespaciado"/>
        <w:jc w:val="both"/>
      </w:pPr>
      <w:r w:rsidRPr="00AC76FE">
        <w:lastRenderedPageBreak/>
        <w:tab/>
        <w:t>Esto nos generará una salida de fichero "NombreScript.sql" del tipo:</w:t>
      </w:r>
    </w:p>
    <w:p w:rsidR="00AC76FE" w:rsidRDefault="00AC76FE" w:rsidP="00AC76FE">
      <w:pPr>
        <w:pStyle w:val="Sinespaciado"/>
        <w:jc w:val="both"/>
        <w:rPr>
          <w:rFonts w:ascii="Courier New" w:hAnsi="Courier New" w:cs="Courier New"/>
          <w:color w:val="222222"/>
          <w:sz w:val="20"/>
          <w:szCs w:val="20"/>
        </w:rPr>
      </w:pPr>
      <w:r w:rsidRPr="00E053A8">
        <w:rPr>
          <w:sz w:val="10"/>
          <w:szCs w:val="10"/>
        </w:rPr>
        <w:br/>
      </w:r>
      <w:r w:rsidR="00EB5EB2">
        <w:rPr>
          <w:rFonts w:ascii="Courier New" w:hAnsi="Courier New" w:cs="Courier New"/>
          <w:color w:val="222222"/>
          <w:sz w:val="20"/>
          <w:szCs w:val="20"/>
        </w:rPr>
        <w:t xml:space="preserve">BACKUP DATABASE </w:t>
      </w:r>
      <w:r w:rsidR="00EB5EB2" w:rsidRPr="00AC76FE">
        <w:rPr>
          <w:rFonts w:ascii="Courier New" w:hAnsi="Courier New" w:cs="Courier New"/>
          <w:b/>
          <w:color w:val="222222"/>
          <w:sz w:val="20"/>
          <w:szCs w:val="20"/>
        </w:rPr>
        <w:t xml:space="preserve">[NombreBaseDatos] </w:t>
      </w:r>
      <w:r w:rsidR="00EB5EB2">
        <w:rPr>
          <w:rFonts w:ascii="Courier New" w:hAnsi="Courier New" w:cs="Courier New"/>
          <w:color w:val="222222"/>
          <w:sz w:val="20"/>
          <w:szCs w:val="20"/>
        </w:rPr>
        <w:t>TO DISK = N'</w:t>
      </w:r>
      <w:r w:rsidR="00EB5EB2" w:rsidRPr="00AC76FE">
        <w:rPr>
          <w:rFonts w:ascii="Courier New" w:hAnsi="Courier New" w:cs="Courier New"/>
          <w:b/>
          <w:color w:val="222222"/>
          <w:sz w:val="20"/>
          <w:szCs w:val="20"/>
        </w:rPr>
        <w:t>E:\Program Files\Microsoft SQL Server\MSSQL.1\MSSQL\Backup\NombreBackup.bak</w:t>
      </w:r>
      <w:r w:rsidR="00EB5EB2">
        <w:rPr>
          <w:rFonts w:ascii="Courier New" w:hAnsi="Courier New" w:cs="Courier New"/>
          <w:color w:val="222222"/>
          <w:sz w:val="20"/>
          <w:szCs w:val="20"/>
        </w:rPr>
        <w:t>' WITH NOFORMAT, NOINIT, NAME = N'</w:t>
      </w:r>
      <w:r w:rsidR="00EB5EB2" w:rsidRPr="00AC76FE">
        <w:rPr>
          <w:rFonts w:ascii="Courier New" w:hAnsi="Courier New" w:cs="Courier New"/>
          <w:b/>
          <w:color w:val="222222"/>
          <w:sz w:val="20"/>
          <w:szCs w:val="20"/>
        </w:rPr>
        <w:t>NombreBaseDatos-Full Database Backup'</w:t>
      </w:r>
      <w:r w:rsidR="00EB5EB2">
        <w:rPr>
          <w:rFonts w:ascii="Courier New" w:hAnsi="Courier New" w:cs="Courier New"/>
          <w:color w:val="222222"/>
          <w:sz w:val="20"/>
          <w:szCs w:val="20"/>
        </w:rPr>
        <w:t>, SKIP, NOREWIND, NOUNLOAD, STATS = 10</w:t>
      </w:r>
    </w:p>
    <w:p w:rsidR="00EB5EB2" w:rsidRDefault="00EB5EB2" w:rsidP="00AC76FE">
      <w:pPr>
        <w:pStyle w:val="Sinespaciado"/>
        <w:jc w:val="both"/>
        <w:rPr>
          <w:rFonts w:ascii="Courier New" w:hAnsi="Courier New" w:cs="Courier New"/>
          <w:color w:val="222222"/>
          <w:sz w:val="20"/>
          <w:szCs w:val="20"/>
        </w:rPr>
      </w:pPr>
      <w:r>
        <w:rPr>
          <w:rFonts w:ascii="Courier New" w:hAnsi="Courier New" w:cs="Courier New"/>
          <w:color w:val="222222"/>
          <w:sz w:val="20"/>
          <w:szCs w:val="20"/>
        </w:rPr>
        <w:t>GO</w:t>
      </w:r>
    </w:p>
    <w:p w:rsidR="00AC76FE" w:rsidRDefault="00AC76FE" w:rsidP="00AC76FE">
      <w:pPr>
        <w:pStyle w:val="Sinespaciado"/>
        <w:jc w:val="both"/>
        <w:rPr>
          <w:rFonts w:ascii="Courier New" w:hAnsi="Courier New" w:cs="Courier New"/>
          <w:color w:val="222222"/>
          <w:sz w:val="20"/>
          <w:szCs w:val="20"/>
        </w:rPr>
      </w:pPr>
    </w:p>
    <w:p w:rsidR="00AC76FE" w:rsidRDefault="00AC76FE" w:rsidP="00AC76FE">
      <w:pPr>
        <w:pStyle w:val="Sinespaciado"/>
        <w:jc w:val="both"/>
      </w:pPr>
      <w:r w:rsidRPr="00AC76FE">
        <w:tab/>
        <w:t>En nuestro caso:</w:t>
      </w:r>
    </w:p>
    <w:p w:rsidR="00AC76FE" w:rsidRPr="00E053A8" w:rsidRDefault="00AC76FE" w:rsidP="00AC76FE">
      <w:pPr>
        <w:pStyle w:val="Sinespaciado"/>
        <w:jc w:val="both"/>
        <w:rPr>
          <w:sz w:val="10"/>
          <w:szCs w:val="10"/>
        </w:rPr>
      </w:pPr>
    </w:p>
    <w:p w:rsidR="00AC76FE" w:rsidRPr="00E053A8" w:rsidRDefault="00AC76FE" w:rsidP="00AC76FE">
      <w:pPr>
        <w:pStyle w:val="Sinespaciado"/>
        <w:jc w:val="both"/>
        <w:rPr>
          <w:rFonts w:ascii="Courier New" w:hAnsi="Courier New" w:cs="Courier New"/>
          <w:b/>
          <w:color w:val="222222"/>
          <w:sz w:val="20"/>
          <w:szCs w:val="20"/>
        </w:rPr>
      </w:pPr>
      <w:r w:rsidRPr="00E053A8">
        <w:rPr>
          <w:rFonts w:ascii="Courier New" w:hAnsi="Courier New" w:cs="Courier New"/>
          <w:b/>
          <w:color w:val="222222"/>
          <w:sz w:val="20"/>
          <w:szCs w:val="20"/>
        </w:rPr>
        <w:t>BACKUP DATABASE [</w:t>
      </w:r>
      <w:r w:rsidR="0072061C">
        <w:rPr>
          <w:rFonts w:ascii="Courier New" w:hAnsi="Courier New" w:cs="Courier New"/>
          <w:b/>
          <w:color w:val="222222"/>
          <w:sz w:val="20"/>
          <w:szCs w:val="20"/>
        </w:rPr>
        <w:t>SISTFLOTA</w:t>
      </w:r>
      <w:r w:rsidRPr="00E053A8">
        <w:rPr>
          <w:rFonts w:ascii="Courier New" w:hAnsi="Courier New" w:cs="Courier New"/>
          <w:b/>
          <w:color w:val="222222"/>
          <w:sz w:val="20"/>
          <w:szCs w:val="20"/>
        </w:rPr>
        <w:t>] TO  DISK = N'C:\Program Files\Microsoft SQL Server\MSSQL10.SQLEXPRESS\MSSQL\Backup\</w:t>
      </w:r>
      <w:r w:rsidR="00B43004">
        <w:rPr>
          <w:rFonts w:ascii="Courier New" w:hAnsi="Courier New" w:cs="Courier New"/>
          <w:b/>
          <w:color w:val="222222"/>
          <w:sz w:val="20"/>
          <w:szCs w:val="20"/>
        </w:rPr>
        <w:t>SISTFLOTA</w:t>
      </w:r>
      <w:r w:rsidRPr="00E053A8">
        <w:rPr>
          <w:rFonts w:ascii="Courier New" w:hAnsi="Courier New" w:cs="Courier New"/>
          <w:b/>
          <w:color w:val="222222"/>
          <w:sz w:val="20"/>
          <w:szCs w:val="20"/>
        </w:rPr>
        <w:t>.bak' WITH NOFORMAT, NOINIT,  NAME = N'</w:t>
      </w:r>
      <w:r w:rsidR="00B43004">
        <w:rPr>
          <w:rFonts w:ascii="Courier New" w:hAnsi="Courier New" w:cs="Courier New"/>
          <w:b/>
          <w:color w:val="222222"/>
          <w:sz w:val="20"/>
          <w:szCs w:val="20"/>
        </w:rPr>
        <w:t>SISTFLOTA</w:t>
      </w:r>
      <w:r w:rsidRPr="00E053A8">
        <w:rPr>
          <w:rFonts w:ascii="Courier New" w:hAnsi="Courier New" w:cs="Courier New"/>
          <w:b/>
          <w:color w:val="222222"/>
          <w:sz w:val="20"/>
          <w:szCs w:val="20"/>
        </w:rPr>
        <w:t>-Completa Base de datos Copia de seguridad', SKIP, NOREWIND, NOUNLOAD,  STATS = 10</w:t>
      </w:r>
    </w:p>
    <w:p w:rsidR="00AC76FE" w:rsidRPr="00E053A8" w:rsidRDefault="00AC76FE" w:rsidP="00AC76FE">
      <w:pPr>
        <w:pStyle w:val="Sinespaciado"/>
        <w:jc w:val="both"/>
        <w:rPr>
          <w:rFonts w:ascii="Courier New" w:hAnsi="Courier New" w:cs="Courier New"/>
          <w:b/>
          <w:color w:val="222222"/>
          <w:sz w:val="20"/>
          <w:szCs w:val="20"/>
        </w:rPr>
      </w:pPr>
      <w:r w:rsidRPr="00E053A8">
        <w:rPr>
          <w:rFonts w:ascii="Courier New" w:hAnsi="Courier New" w:cs="Courier New"/>
          <w:b/>
          <w:color w:val="222222"/>
          <w:sz w:val="20"/>
          <w:szCs w:val="20"/>
        </w:rPr>
        <w:t>GO</w:t>
      </w:r>
    </w:p>
    <w:p w:rsidR="00AC76FE" w:rsidRDefault="00AC76FE" w:rsidP="00AC76FE">
      <w:pPr>
        <w:pStyle w:val="Sinespaciado"/>
        <w:jc w:val="both"/>
        <w:rPr>
          <w:rFonts w:ascii="Courier New" w:hAnsi="Courier New" w:cs="Courier New"/>
          <w:color w:val="222222"/>
          <w:sz w:val="20"/>
          <w:szCs w:val="20"/>
        </w:rPr>
      </w:pPr>
    </w:p>
    <w:p w:rsidR="00EB5EB2" w:rsidRPr="00AC76FE" w:rsidRDefault="00EB5EB2" w:rsidP="00AC76FE">
      <w:pPr>
        <w:pStyle w:val="Sinespaciado"/>
        <w:numPr>
          <w:ilvl w:val="0"/>
          <w:numId w:val="3"/>
        </w:numPr>
        <w:ind w:left="426"/>
        <w:jc w:val="both"/>
      </w:pPr>
      <w:r w:rsidRPr="00AC76FE">
        <w:t xml:space="preserve">Creamos un archivo </w:t>
      </w:r>
      <w:r w:rsidRPr="003F6EC1">
        <w:rPr>
          <w:b/>
        </w:rPr>
        <w:t>.bat</w:t>
      </w:r>
      <w:r w:rsidRPr="00AC76FE">
        <w:t xml:space="preserve"> que es el que vamos a programar a través de las tareas programadas de Windows. En nuestro caso, para SQL Server 2008, dentro del archivo bat colocamos el siguiente comando:</w:t>
      </w:r>
    </w:p>
    <w:p w:rsidR="00EB5EB2" w:rsidRPr="00E053A8" w:rsidRDefault="00EB5EB2" w:rsidP="00245A61">
      <w:pPr>
        <w:pStyle w:val="Sinespaciado"/>
        <w:jc w:val="both"/>
      </w:pPr>
      <w:r w:rsidRPr="00245A61">
        <w:br/>
      </w:r>
      <w:r w:rsidRPr="00245A61">
        <w:rPr>
          <w:rFonts w:ascii="Courier New" w:hAnsi="Courier New" w:cs="Courier New"/>
        </w:rPr>
        <w:t>"C:\Program Files\Microsoft SQL Server\100\Tools\Binn\sqlcmd.exe" -S NOMBRESERVIDOR -i C:\Sistema\NombreScript.sql -o C:\Sistemas\Restore.log</w:t>
      </w:r>
      <w:r w:rsidRPr="00E053A8">
        <w:rPr>
          <w:b/>
        </w:rPr>
        <w:br/>
      </w:r>
      <w:r w:rsidRPr="00E053A8">
        <w:rPr>
          <w:b/>
        </w:rPr>
        <w:br/>
      </w:r>
      <w:r>
        <w:tab/>
      </w:r>
      <w:r w:rsidRPr="00E053A8">
        <w:t xml:space="preserve">Importante mantener las comillas (") dentro de la parte inicial del comando ya que como la ruta contiene un espacio es necesario definirlo de esta manera. </w:t>
      </w:r>
      <w:r w:rsidRPr="00245A61">
        <w:rPr>
          <w:b/>
        </w:rPr>
        <w:t>NOMBRESERVIDOR</w:t>
      </w:r>
      <w:r w:rsidRPr="00E053A8">
        <w:t xml:space="preserve"> se debe reemplazar por el nombre correspondiente del servidor, </w:t>
      </w:r>
      <w:r w:rsidRPr="00245A61">
        <w:rPr>
          <w:b/>
        </w:rPr>
        <w:t>C:\Sistema\NombreScript.sql</w:t>
      </w:r>
      <w:r w:rsidRPr="00E053A8">
        <w:t xml:space="preserve"> debe ser la ruta donde se guardó el script que realiza el backup y </w:t>
      </w:r>
      <w:r w:rsidR="00AC76FE" w:rsidRPr="00245A61">
        <w:rPr>
          <w:b/>
        </w:rPr>
        <w:t>C:\Sistemas\Restore.log</w:t>
      </w:r>
      <w:r w:rsidR="00AC76FE" w:rsidRPr="00E053A8">
        <w:t xml:space="preserve"> </w:t>
      </w:r>
      <w:r w:rsidRPr="00E053A8">
        <w:t>debe ser la ruta donde se desea guardar el log de restauración.</w:t>
      </w:r>
    </w:p>
    <w:p w:rsidR="00AC76FE" w:rsidRPr="00E053A8" w:rsidRDefault="00AC76FE" w:rsidP="00245A61">
      <w:pPr>
        <w:pStyle w:val="Sinespaciado"/>
        <w:jc w:val="both"/>
      </w:pPr>
      <w:r w:rsidRPr="00E053A8">
        <w:tab/>
        <w:t xml:space="preserve">En nuestro caso, el script para </w:t>
      </w:r>
      <w:r w:rsidR="0072061C">
        <w:t xml:space="preserve">la base de datos del Sistema de Flotas </w:t>
      </w:r>
      <w:r w:rsidRPr="00E053A8">
        <w:t>sería:</w:t>
      </w:r>
    </w:p>
    <w:p w:rsidR="00EB5EB2" w:rsidRPr="00245A61" w:rsidRDefault="00EB5EB2" w:rsidP="00EB5EB2">
      <w:pPr>
        <w:pStyle w:val="Sinespaciado"/>
        <w:jc w:val="both"/>
        <w:rPr>
          <w:rFonts w:ascii="Arial" w:hAnsi="Arial" w:cs="Arial"/>
          <w:color w:val="222222"/>
          <w:sz w:val="10"/>
          <w:szCs w:val="10"/>
        </w:rPr>
      </w:pPr>
    </w:p>
    <w:p w:rsidR="00EB5EB2" w:rsidRPr="00245A61" w:rsidRDefault="00EB5EB2" w:rsidP="00EB5EB2">
      <w:pPr>
        <w:pStyle w:val="Sinespaciado"/>
        <w:jc w:val="both"/>
        <w:rPr>
          <w:rFonts w:ascii="Courier New" w:hAnsi="Courier New" w:cs="Courier New"/>
          <w:b/>
          <w:color w:val="222222"/>
          <w:sz w:val="20"/>
          <w:szCs w:val="20"/>
        </w:rPr>
      </w:pPr>
      <w:r w:rsidRPr="00245A61">
        <w:rPr>
          <w:rFonts w:ascii="Courier New" w:hAnsi="Courier New" w:cs="Courier New"/>
          <w:b/>
          <w:color w:val="222222"/>
          <w:sz w:val="20"/>
          <w:szCs w:val="20"/>
        </w:rPr>
        <w:t>"C:\Program Files\Microsoft SQL Server\100\Tools\Binn\sqlcmd.exe" -S localhost\sqlexpress -i D:\Users\</w:t>
      </w:r>
      <w:r w:rsidR="00B43004">
        <w:rPr>
          <w:rFonts w:ascii="Courier New" w:hAnsi="Courier New" w:cs="Courier New"/>
          <w:b/>
          <w:color w:val="222222"/>
          <w:sz w:val="20"/>
          <w:szCs w:val="20"/>
        </w:rPr>
        <w:t>guillermo.cejas</w:t>
      </w:r>
      <w:r w:rsidRPr="00245A61">
        <w:rPr>
          <w:rFonts w:ascii="Courier New" w:hAnsi="Courier New" w:cs="Courier New"/>
          <w:b/>
          <w:color w:val="222222"/>
          <w:sz w:val="20"/>
          <w:szCs w:val="20"/>
        </w:rPr>
        <w:t>\Desktop\ScriptBackUp.sql -o C:\</w:t>
      </w:r>
      <w:r w:rsidR="00B43004">
        <w:rPr>
          <w:rFonts w:ascii="Courier New" w:hAnsi="Courier New" w:cs="Courier New"/>
          <w:b/>
          <w:color w:val="222222"/>
          <w:sz w:val="20"/>
          <w:szCs w:val="20"/>
        </w:rPr>
        <w:t>SistFlota</w:t>
      </w:r>
      <w:r w:rsidRPr="00245A61">
        <w:rPr>
          <w:rFonts w:ascii="Courier New" w:hAnsi="Courier New" w:cs="Courier New"/>
          <w:b/>
          <w:color w:val="222222"/>
          <w:sz w:val="20"/>
          <w:szCs w:val="20"/>
        </w:rPr>
        <w:t>\Restore.log</w:t>
      </w:r>
    </w:p>
    <w:p w:rsidR="00AC76FE" w:rsidRDefault="00AC76FE" w:rsidP="00EB5EB2">
      <w:pPr>
        <w:pStyle w:val="Sinespaciado"/>
        <w:jc w:val="both"/>
        <w:rPr>
          <w:rFonts w:ascii="Courier New" w:hAnsi="Courier New" w:cs="Courier New"/>
          <w:color w:val="222222"/>
          <w:sz w:val="20"/>
          <w:szCs w:val="20"/>
        </w:rPr>
      </w:pPr>
    </w:p>
    <w:p w:rsidR="00245A61" w:rsidRPr="00245A61" w:rsidRDefault="00245A61" w:rsidP="00EB5EB2">
      <w:pPr>
        <w:pStyle w:val="Sinespaciado"/>
        <w:jc w:val="both"/>
        <w:rPr>
          <w:rFonts w:ascii="Courier New" w:hAnsi="Courier New" w:cs="Courier New"/>
          <w:color w:val="222222"/>
          <w:sz w:val="10"/>
          <w:szCs w:val="10"/>
        </w:rPr>
      </w:pPr>
    </w:p>
    <w:p w:rsidR="00AC76FE" w:rsidRPr="00245A61" w:rsidRDefault="00AC76FE" w:rsidP="00245A61">
      <w:pPr>
        <w:pStyle w:val="Sinespaciado"/>
        <w:numPr>
          <w:ilvl w:val="0"/>
          <w:numId w:val="3"/>
        </w:numPr>
      </w:pPr>
      <w:r w:rsidRPr="00245A61">
        <w:t xml:space="preserve">Por último desde el Programador de Tareas </w:t>
      </w:r>
      <w:r w:rsidR="003F6EC1" w:rsidRPr="00245A61">
        <w:t xml:space="preserve">de Windows </w:t>
      </w:r>
      <w:r w:rsidRPr="00245A61">
        <w:t>se crea una nueva tarea</w:t>
      </w:r>
      <w:r w:rsidR="003F6EC1" w:rsidRPr="00245A61">
        <w:t>:</w:t>
      </w:r>
    </w:p>
    <w:p w:rsidR="003F6EC1" w:rsidRPr="00AC76FE" w:rsidRDefault="00D8632F" w:rsidP="00D8632F">
      <w:pPr>
        <w:pStyle w:val="Sinespaciado"/>
        <w:ind w:left="720" w:hanging="720"/>
        <w:jc w:val="both"/>
        <w:rPr>
          <w:rFonts w:ascii="Courier New" w:hAnsi="Courier New" w:cs="Courier New"/>
          <w:color w:val="222222"/>
          <w:sz w:val="20"/>
          <w:szCs w:val="20"/>
        </w:rPr>
      </w:pPr>
      <w:r>
        <w:rPr>
          <w:rFonts w:ascii="Courier New" w:hAnsi="Courier New" w:cs="Courier New"/>
          <w:noProof/>
          <w:color w:val="222222"/>
          <w:sz w:val="20"/>
          <w:szCs w:val="20"/>
          <w:lang w:eastAsia="es-AR"/>
        </w:rPr>
        <w:lastRenderedPageBreak/>
        <w:drawing>
          <wp:inline distT="0" distB="0" distL="0" distR="0">
            <wp:extent cx="5465252" cy="3159174"/>
            <wp:effectExtent l="19050" t="0" r="2098"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64598" cy="3158796"/>
                    </a:xfrm>
                    <a:prstGeom prst="rect">
                      <a:avLst/>
                    </a:prstGeom>
                    <a:noFill/>
                    <a:ln w="9525">
                      <a:noFill/>
                      <a:miter lim="800000"/>
                      <a:headEnd/>
                      <a:tailEnd/>
                    </a:ln>
                  </pic:spPr>
                </pic:pic>
              </a:graphicData>
            </a:graphic>
          </wp:inline>
        </w:drawing>
      </w:r>
    </w:p>
    <w:p w:rsidR="003F6EC1" w:rsidRDefault="003F6EC1" w:rsidP="003F6EC1">
      <w:pPr>
        <w:pStyle w:val="Sinespaciado"/>
        <w:jc w:val="center"/>
        <w:rPr>
          <w:rFonts w:ascii="Arial" w:hAnsi="Arial" w:cs="Arial"/>
          <w:color w:val="222222"/>
          <w:sz w:val="20"/>
          <w:szCs w:val="20"/>
        </w:rPr>
      </w:pPr>
    </w:p>
    <w:p w:rsidR="003F6EC1" w:rsidRDefault="003F6EC1" w:rsidP="003F6EC1">
      <w:pPr>
        <w:pStyle w:val="Sinespaciado"/>
        <w:jc w:val="center"/>
        <w:rPr>
          <w:rFonts w:ascii="Arial" w:hAnsi="Arial" w:cs="Arial"/>
          <w:color w:val="222222"/>
          <w:sz w:val="20"/>
          <w:szCs w:val="20"/>
        </w:rPr>
      </w:pPr>
    </w:p>
    <w:p w:rsidR="003F6EC1" w:rsidRDefault="003F6EC1" w:rsidP="003F6EC1">
      <w:pPr>
        <w:pStyle w:val="Sinespaciado"/>
        <w:rPr>
          <w:rFonts w:ascii="Arial" w:hAnsi="Arial" w:cs="Arial"/>
          <w:color w:val="222222"/>
          <w:sz w:val="20"/>
          <w:szCs w:val="20"/>
        </w:rPr>
      </w:pPr>
      <w:r>
        <w:rPr>
          <w:rFonts w:ascii="Arial" w:hAnsi="Arial" w:cs="Arial"/>
          <w:color w:val="222222"/>
          <w:sz w:val="20"/>
          <w:szCs w:val="20"/>
        </w:rPr>
        <w:tab/>
      </w:r>
    </w:p>
    <w:p w:rsidR="003F6EC1" w:rsidRPr="00245A61" w:rsidRDefault="00245A61" w:rsidP="00245A61">
      <w:pPr>
        <w:pStyle w:val="Sinespaciado"/>
        <w:jc w:val="both"/>
      </w:pPr>
      <w:r>
        <w:tab/>
      </w:r>
      <w:r w:rsidR="003F6EC1" w:rsidRPr="00245A61">
        <w:t xml:space="preserve">Dentro de la pestaña </w:t>
      </w:r>
      <w:r w:rsidRPr="00245A61">
        <w:rPr>
          <w:b/>
        </w:rPr>
        <w:t>“</w:t>
      </w:r>
      <w:r w:rsidR="003F6EC1" w:rsidRPr="00245A61">
        <w:rPr>
          <w:b/>
        </w:rPr>
        <w:t>Acciones</w:t>
      </w:r>
      <w:r w:rsidRPr="00245A61">
        <w:rPr>
          <w:b/>
        </w:rPr>
        <w:t>”</w:t>
      </w:r>
      <w:r w:rsidR="003F6EC1" w:rsidRPr="00245A61">
        <w:t xml:space="preserve"> seleccionamos la opción </w:t>
      </w:r>
      <w:r w:rsidR="003F6EC1" w:rsidRPr="00245A61">
        <w:rPr>
          <w:b/>
        </w:rPr>
        <w:t>“Iniciar un programa”</w:t>
      </w:r>
      <w:r w:rsidR="003F6EC1" w:rsidRPr="00245A61">
        <w:t xml:space="preserve"> y seleccionamos la ruta del .bat que creamos:</w:t>
      </w:r>
    </w:p>
    <w:p w:rsidR="003F6EC1" w:rsidRPr="003F6EC1" w:rsidRDefault="003F6EC1" w:rsidP="003F6EC1">
      <w:pPr>
        <w:pStyle w:val="Sinespaciado"/>
        <w:rPr>
          <w:rFonts w:ascii="Arial" w:hAnsi="Arial" w:cs="Arial"/>
          <w:color w:val="222222"/>
          <w:sz w:val="20"/>
          <w:szCs w:val="20"/>
        </w:rPr>
      </w:pPr>
    </w:p>
    <w:p w:rsidR="003F6EC1" w:rsidRDefault="00D8632F" w:rsidP="003F6EC1">
      <w:pPr>
        <w:pStyle w:val="Sinespaciado"/>
        <w:jc w:val="center"/>
        <w:rPr>
          <w:vertAlign w:val="superscript"/>
        </w:rPr>
      </w:pPr>
      <w:r>
        <w:rPr>
          <w:noProof/>
          <w:vertAlign w:val="superscript"/>
          <w:lang w:eastAsia="es-AR"/>
        </w:rPr>
        <w:drawing>
          <wp:inline distT="0" distB="0" distL="0" distR="0">
            <wp:extent cx="3836258" cy="2560110"/>
            <wp:effectExtent l="19050" t="0" r="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836668" cy="2560384"/>
                    </a:xfrm>
                    <a:prstGeom prst="rect">
                      <a:avLst/>
                    </a:prstGeom>
                    <a:noFill/>
                    <a:ln w="9525">
                      <a:noFill/>
                      <a:miter lim="800000"/>
                      <a:headEnd/>
                      <a:tailEnd/>
                    </a:ln>
                  </pic:spPr>
                </pic:pic>
              </a:graphicData>
            </a:graphic>
          </wp:inline>
        </w:drawing>
      </w:r>
    </w:p>
    <w:p w:rsidR="003F6EC1" w:rsidRDefault="003F6EC1" w:rsidP="003F6EC1">
      <w:pPr>
        <w:pStyle w:val="Sinespaciado"/>
        <w:jc w:val="center"/>
        <w:rPr>
          <w:vertAlign w:val="superscript"/>
        </w:rPr>
      </w:pPr>
    </w:p>
    <w:p w:rsidR="003F6EC1" w:rsidRDefault="003F6EC1" w:rsidP="004A093D">
      <w:pPr>
        <w:pStyle w:val="Sinespaciado"/>
      </w:pPr>
      <w:r w:rsidRPr="004A093D">
        <w:t xml:space="preserve">Dentro de la pestaña  </w:t>
      </w:r>
      <w:r w:rsidRPr="00245A61">
        <w:rPr>
          <w:b/>
        </w:rPr>
        <w:t>“Desencadenadores”</w:t>
      </w:r>
      <w:r w:rsidRPr="004A093D">
        <w:t xml:space="preserve"> definimos la periodicidad de la ejecución:</w:t>
      </w:r>
    </w:p>
    <w:p w:rsidR="00245A61" w:rsidRPr="004A093D" w:rsidRDefault="00245A61" w:rsidP="004A093D">
      <w:pPr>
        <w:pStyle w:val="Sinespaciado"/>
      </w:pPr>
    </w:p>
    <w:p w:rsidR="00BB2187" w:rsidRDefault="00BB2187" w:rsidP="003F6EC1">
      <w:pPr>
        <w:pStyle w:val="Sinespaciado"/>
        <w:jc w:val="center"/>
        <w:rPr>
          <w:vertAlign w:val="superscript"/>
        </w:rPr>
      </w:pPr>
      <w:r>
        <w:rPr>
          <w:noProof/>
          <w:vertAlign w:val="superscript"/>
          <w:lang w:eastAsia="es-AR"/>
        </w:rPr>
        <w:lastRenderedPageBreak/>
        <w:drawing>
          <wp:inline distT="0" distB="0" distL="0" distR="0">
            <wp:extent cx="4092709" cy="2922105"/>
            <wp:effectExtent l="0" t="0" r="3175" b="0"/>
            <wp:docPr id="2" name="Imagen 2" descr="D:\Users\Daiana\Desktop\Captura.ProgTarea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aiana\Desktop\Captura.ProgTareaJPG.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2962" cy="2922286"/>
                    </a:xfrm>
                    <a:prstGeom prst="rect">
                      <a:avLst/>
                    </a:prstGeom>
                    <a:noFill/>
                    <a:ln>
                      <a:noFill/>
                    </a:ln>
                  </pic:spPr>
                </pic:pic>
              </a:graphicData>
            </a:graphic>
          </wp:inline>
        </w:drawing>
      </w:r>
    </w:p>
    <w:p w:rsidR="003F6EC1" w:rsidRDefault="003F6EC1" w:rsidP="001B5A57">
      <w:pPr>
        <w:pStyle w:val="Sinespaciado"/>
        <w:jc w:val="both"/>
      </w:pPr>
    </w:p>
    <w:p w:rsidR="004A093D" w:rsidRPr="00BE20EE" w:rsidRDefault="004A093D" w:rsidP="001B5A57">
      <w:pPr>
        <w:pStyle w:val="Sinespaciado"/>
        <w:jc w:val="both"/>
      </w:pPr>
    </w:p>
    <w:p w:rsidR="003F6EC1" w:rsidRDefault="00BE20EE" w:rsidP="001B5A57">
      <w:pPr>
        <w:pStyle w:val="Sinespaciado"/>
        <w:jc w:val="both"/>
      </w:pPr>
      <w:r>
        <w:tab/>
      </w:r>
      <w:r w:rsidR="003F6EC1" w:rsidRPr="00BE20EE">
        <w:t xml:space="preserve">Finalmente podemos observar la tarea que hemos creado en la </w:t>
      </w:r>
      <w:r w:rsidRPr="00245A61">
        <w:rPr>
          <w:b/>
        </w:rPr>
        <w:t>“</w:t>
      </w:r>
      <w:r w:rsidR="006B5588">
        <w:rPr>
          <w:b/>
        </w:rPr>
        <w:t xml:space="preserve">Lista </w:t>
      </w:r>
      <w:r w:rsidRPr="00245A61">
        <w:rPr>
          <w:b/>
        </w:rPr>
        <w:t>del programador de tareas”</w:t>
      </w:r>
      <w:r w:rsidRPr="00BE20EE">
        <w:t>:</w:t>
      </w:r>
    </w:p>
    <w:p w:rsidR="00BE20EE" w:rsidRPr="00BE20EE" w:rsidRDefault="00BE20EE" w:rsidP="00BE20EE">
      <w:pPr>
        <w:pStyle w:val="Sinespaciado"/>
        <w:rPr>
          <w:sz w:val="10"/>
          <w:szCs w:val="10"/>
        </w:rPr>
      </w:pPr>
    </w:p>
    <w:p w:rsidR="003F6EC1" w:rsidRDefault="00D8632F" w:rsidP="003F6EC1">
      <w:pPr>
        <w:pStyle w:val="Sinespaciado"/>
        <w:jc w:val="center"/>
        <w:rPr>
          <w:vertAlign w:val="superscript"/>
        </w:rPr>
      </w:pPr>
      <w:r>
        <w:rPr>
          <w:noProof/>
          <w:vertAlign w:val="superscript"/>
          <w:lang w:eastAsia="es-AR"/>
        </w:rPr>
        <w:drawing>
          <wp:inline distT="0" distB="0" distL="0" distR="0">
            <wp:extent cx="5610225" cy="3101340"/>
            <wp:effectExtent l="19050" t="0" r="9525" b="0"/>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610225" cy="3101340"/>
                    </a:xfrm>
                    <a:prstGeom prst="rect">
                      <a:avLst/>
                    </a:prstGeom>
                    <a:noFill/>
                    <a:ln w="9525">
                      <a:noFill/>
                      <a:miter lim="800000"/>
                      <a:headEnd/>
                      <a:tailEnd/>
                    </a:ln>
                  </pic:spPr>
                </pic:pic>
              </a:graphicData>
            </a:graphic>
          </wp:inline>
        </w:drawing>
      </w:r>
    </w:p>
    <w:p w:rsidR="00BE20EE" w:rsidRDefault="00BE20EE" w:rsidP="003F6EC1">
      <w:pPr>
        <w:pStyle w:val="Sinespaciado"/>
        <w:jc w:val="center"/>
        <w:rPr>
          <w:vertAlign w:val="superscript"/>
        </w:rPr>
      </w:pPr>
    </w:p>
    <w:p w:rsidR="00BE20EE" w:rsidRDefault="00BE20EE" w:rsidP="00BE20EE">
      <w:pPr>
        <w:pStyle w:val="Sinespaciado"/>
      </w:pPr>
      <w:r>
        <w:tab/>
      </w:r>
      <w:r w:rsidRPr="00BE20EE">
        <w:t>El mismo procedimiento se realizó además para la base de datos de auditoría y seguridad.</w:t>
      </w:r>
    </w:p>
    <w:p w:rsidR="00934B67" w:rsidRDefault="00934B67" w:rsidP="00934B67">
      <w:pPr>
        <w:pStyle w:val="Default"/>
        <w:rPr>
          <w:sz w:val="22"/>
          <w:szCs w:val="22"/>
        </w:rPr>
      </w:pPr>
    </w:p>
    <w:p w:rsidR="00934B67" w:rsidRPr="00797B10" w:rsidRDefault="00934B67" w:rsidP="00797B10">
      <w:pPr>
        <w:pStyle w:val="Default"/>
        <w:jc w:val="both"/>
        <w:rPr>
          <w:rFonts w:asciiTheme="minorHAnsi" w:hAnsiTheme="minorHAnsi" w:cstheme="minorHAnsi"/>
          <w:sz w:val="22"/>
          <w:szCs w:val="22"/>
        </w:rPr>
      </w:pPr>
      <w:r w:rsidRPr="00797B10">
        <w:rPr>
          <w:rFonts w:asciiTheme="minorHAnsi" w:hAnsiTheme="minorHAnsi" w:cstheme="minorHAnsi"/>
          <w:sz w:val="22"/>
          <w:szCs w:val="22"/>
        </w:rPr>
        <w:tab/>
        <w:t>El plan de BACKUP definido realiza una copia entera de cada una. Está programado para ejecutarse</w:t>
      </w:r>
      <w:r w:rsidR="0072061C">
        <w:rPr>
          <w:rFonts w:asciiTheme="minorHAnsi" w:hAnsiTheme="minorHAnsi" w:cstheme="minorHAnsi"/>
          <w:sz w:val="22"/>
          <w:szCs w:val="22"/>
        </w:rPr>
        <w:t xml:space="preserve"> diariamente a las 21:00:00 hs</w:t>
      </w:r>
      <w:r w:rsidRPr="00797B10">
        <w:rPr>
          <w:rFonts w:asciiTheme="minorHAnsi" w:hAnsiTheme="minorHAnsi" w:cstheme="minorHAnsi"/>
          <w:sz w:val="22"/>
          <w:szCs w:val="22"/>
        </w:rPr>
        <w:t xml:space="preserve">. Los archivos de copia de seguridad se almacenan en un disco distinto al del sistema operativo. </w:t>
      </w:r>
    </w:p>
    <w:p w:rsidR="00797B10" w:rsidRDefault="00934B67" w:rsidP="00797B10">
      <w:pPr>
        <w:pStyle w:val="Default"/>
        <w:spacing w:after="64"/>
        <w:jc w:val="both"/>
        <w:rPr>
          <w:rFonts w:asciiTheme="minorHAnsi" w:hAnsiTheme="minorHAnsi" w:cstheme="minorHAnsi"/>
          <w:sz w:val="22"/>
          <w:szCs w:val="22"/>
        </w:rPr>
      </w:pPr>
      <w:r w:rsidRPr="00797B10">
        <w:rPr>
          <w:rFonts w:asciiTheme="minorHAnsi" w:hAnsiTheme="minorHAnsi" w:cstheme="minorHAnsi"/>
          <w:sz w:val="22"/>
          <w:szCs w:val="22"/>
        </w:rPr>
        <w:tab/>
        <w:t xml:space="preserve">Adicionalmente a las copias de seguridad diarias, se realizan copias semanales: todos los </w:t>
      </w:r>
      <w:r w:rsidR="00797B10" w:rsidRPr="00797B10">
        <w:rPr>
          <w:rFonts w:asciiTheme="minorHAnsi" w:hAnsiTheme="minorHAnsi" w:cstheme="minorHAnsi"/>
          <w:sz w:val="22"/>
          <w:szCs w:val="22"/>
        </w:rPr>
        <w:t>viernes</w:t>
      </w:r>
      <w:r w:rsidRPr="00797B10">
        <w:rPr>
          <w:rFonts w:asciiTheme="minorHAnsi" w:hAnsiTheme="minorHAnsi" w:cstheme="minorHAnsi"/>
          <w:sz w:val="22"/>
          <w:szCs w:val="22"/>
        </w:rPr>
        <w:t xml:space="preserve"> se copia el backup más actual en un pen drive y se almacena bajo llave</w:t>
      </w:r>
      <w:r w:rsidR="00797B10" w:rsidRPr="00797B10">
        <w:rPr>
          <w:rFonts w:asciiTheme="minorHAnsi" w:hAnsiTheme="minorHAnsi" w:cstheme="minorHAnsi"/>
          <w:sz w:val="22"/>
          <w:szCs w:val="22"/>
        </w:rPr>
        <w:t>.</w:t>
      </w:r>
      <w:r w:rsidRPr="00797B10">
        <w:rPr>
          <w:rFonts w:asciiTheme="minorHAnsi" w:hAnsiTheme="minorHAnsi" w:cstheme="minorHAnsi"/>
          <w:sz w:val="22"/>
          <w:szCs w:val="22"/>
        </w:rPr>
        <w:t xml:space="preserve"> </w:t>
      </w:r>
    </w:p>
    <w:p w:rsidR="00245A61" w:rsidRDefault="00245A61" w:rsidP="00797B10">
      <w:pPr>
        <w:pStyle w:val="Default"/>
        <w:spacing w:after="64"/>
        <w:jc w:val="both"/>
        <w:rPr>
          <w:rFonts w:asciiTheme="minorHAnsi" w:hAnsiTheme="minorHAnsi" w:cstheme="minorHAnsi"/>
          <w:sz w:val="22"/>
          <w:szCs w:val="22"/>
        </w:rPr>
      </w:pPr>
    </w:p>
    <w:p w:rsidR="00797B10" w:rsidRPr="00245A61" w:rsidRDefault="00797B10" w:rsidP="00797B10">
      <w:pPr>
        <w:pStyle w:val="Default"/>
        <w:rPr>
          <w:rFonts w:asciiTheme="minorHAnsi" w:hAnsiTheme="minorHAnsi" w:cstheme="minorHAnsi"/>
          <w:b/>
          <w:sz w:val="26"/>
          <w:szCs w:val="26"/>
          <w:u w:val="single"/>
        </w:rPr>
      </w:pPr>
      <w:r w:rsidRPr="00245A61">
        <w:rPr>
          <w:rFonts w:asciiTheme="minorHAnsi" w:hAnsiTheme="minorHAnsi" w:cstheme="minorHAnsi"/>
          <w:b/>
          <w:sz w:val="26"/>
          <w:szCs w:val="26"/>
          <w:u w:val="single"/>
        </w:rPr>
        <w:t xml:space="preserve">Procedimiento para guardar </w:t>
      </w:r>
      <w:r w:rsidR="004A093D" w:rsidRPr="00245A61">
        <w:rPr>
          <w:rFonts w:asciiTheme="minorHAnsi" w:hAnsiTheme="minorHAnsi" w:cstheme="minorHAnsi"/>
          <w:b/>
          <w:sz w:val="26"/>
          <w:szCs w:val="26"/>
          <w:u w:val="single"/>
        </w:rPr>
        <w:t>el</w:t>
      </w:r>
      <w:r w:rsidRPr="00245A61">
        <w:rPr>
          <w:rFonts w:asciiTheme="minorHAnsi" w:hAnsiTheme="minorHAnsi" w:cstheme="minorHAnsi"/>
          <w:b/>
          <w:sz w:val="26"/>
          <w:szCs w:val="26"/>
          <w:u w:val="single"/>
        </w:rPr>
        <w:t xml:space="preserve"> backup en un pen drive: </w:t>
      </w:r>
    </w:p>
    <w:p w:rsidR="00797B10" w:rsidRPr="00797B10" w:rsidRDefault="00797B10" w:rsidP="00797B10">
      <w:pPr>
        <w:pStyle w:val="Default"/>
        <w:rPr>
          <w:rFonts w:asciiTheme="minorHAnsi" w:hAnsiTheme="minorHAnsi" w:cstheme="minorHAnsi"/>
          <w:b/>
          <w:sz w:val="10"/>
          <w:szCs w:val="10"/>
          <w:u w:val="single"/>
        </w:rPr>
      </w:pPr>
    </w:p>
    <w:p w:rsidR="00797B10" w:rsidRPr="00797B10" w:rsidRDefault="00797B10" w:rsidP="00797B10">
      <w:pPr>
        <w:pStyle w:val="Default"/>
        <w:spacing w:after="62"/>
        <w:rPr>
          <w:rFonts w:asciiTheme="minorHAnsi" w:hAnsiTheme="minorHAnsi" w:cstheme="minorHAnsi"/>
          <w:sz w:val="22"/>
          <w:szCs w:val="22"/>
        </w:rPr>
      </w:pPr>
      <w:r w:rsidRPr="00797B10">
        <w:rPr>
          <w:rFonts w:asciiTheme="minorHAnsi" w:hAnsiTheme="minorHAnsi" w:cstheme="minorHAnsi"/>
          <w:b/>
          <w:sz w:val="22"/>
          <w:szCs w:val="22"/>
        </w:rPr>
        <w:t>1)</w:t>
      </w:r>
      <w:r w:rsidRPr="00797B10">
        <w:rPr>
          <w:rFonts w:asciiTheme="minorHAnsi" w:hAnsiTheme="minorHAnsi" w:cstheme="minorHAnsi"/>
          <w:sz w:val="22"/>
          <w:szCs w:val="22"/>
        </w:rPr>
        <w:t xml:space="preserve"> Conectar el pen drive en algún conector USB del equipo. </w:t>
      </w:r>
    </w:p>
    <w:p w:rsidR="00797B10" w:rsidRPr="00797B10" w:rsidRDefault="00797B10" w:rsidP="00797B10">
      <w:pPr>
        <w:pStyle w:val="Default"/>
        <w:spacing w:after="62"/>
        <w:rPr>
          <w:rFonts w:asciiTheme="minorHAnsi" w:hAnsiTheme="minorHAnsi" w:cstheme="minorHAnsi"/>
          <w:sz w:val="22"/>
          <w:szCs w:val="22"/>
        </w:rPr>
      </w:pPr>
      <w:r w:rsidRPr="00797B10">
        <w:rPr>
          <w:rFonts w:asciiTheme="minorHAnsi" w:hAnsiTheme="minorHAnsi" w:cstheme="minorHAnsi"/>
          <w:b/>
          <w:sz w:val="22"/>
          <w:szCs w:val="22"/>
        </w:rPr>
        <w:t>2)</w:t>
      </w:r>
      <w:r w:rsidRPr="00797B10">
        <w:rPr>
          <w:rFonts w:asciiTheme="minorHAnsi" w:hAnsiTheme="minorHAnsi" w:cstheme="minorHAnsi"/>
          <w:sz w:val="22"/>
          <w:szCs w:val="22"/>
        </w:rPr>
        <w:t xml:space="preserve"> Abrir a la ubicación:</w:t>
      </w:r>
      <w:r>
        <w:rPr>
          <w:rFonts w:asciiTheme="minorHAnsi" w:hAnsiTheme="minorHAnsi" w:cstheme="minorHAnsi"/>
          <w:sz w:val="22"/>
          <w:szCs w:val="22"/>
        </w:rPr>
        <w:t xml:space="preserve"> C:\Program Files\Microsoft SQL </w:t>
      </w:r>
      <w:r w:rsidRPr="00797B10">
        <w:rPr>
          <w:rFonts w:asciiTheme="minorHAnsi" w:hAnsiTheme="minorHAnsi" w:cstheme="minorHAnsi"/>
          <w:sz w:val="22"/>
          <w:szCs w:val="22"/>
        </w:rPr>
        <w:t xml:space="preserve">Server\MSSQL10.MSSQLSERVER\MSSQL\Backup. </w:t>
      </w:r>
    </w:p>
    <w:p w:rsidR="00797B10" w:rsidRPr="00797B10" w:rsidRDefault="00797B10" w:rsidP="00797B10">
      <w:pPr>
        <w:pStyle w:val="Default"/>
        <w:spacing w:after="62"/>
        <w:rPr>
          <w:rFonts w:asciiTheme="minorHAnsi" w:hAnsiTheme="minorHAnsi" w:cstheme="minorHAnsi"/>
          <w:sz w:val="22"/>
          <w:szCs w:val="22"/>
        </w:rPr>
      </w:pPr>
      <w:r w:rsidRPr="00797B10">
        <w:rPr>
          <w:rFonts w:asciiTheme="minorHAnsi" w:hAnsiTheme="minorHAnsi" w:cstheme="minorHAnsi"/>
          <w:b/>
          <w:sz w:val="22"/>
          <w:szCs w:val="22"/>
        </w:rPr>
        <w:t>3)</w:t>
      </w:r>
      <w:r w:rsidRPr="00797B10">
        <w:rPr>
          <w:rFonts w:asciiTheme="minorHAnsi" w:hAnsiTheme="minorHAnsi" w:cstheme="minorHAnsi"/>
          <w:sz w:val="22"/>
          <w:szCs w:val="22"/>
        </w:rPr>
        <w:t xml:space="preserve"> Seleccionar los archivos a copiar (archivos .bak) </w:t>
      </w:r>
    </w:p>
    <w:p w:rsidR="00797B10" w:rsidRPr="00797B10" w:rsidRDefault="00797B10" w:rsidP="00797B10">
      <w:pPr>
        <w:pStyle w:val="Default"/>
        <w:spacing w:after="62"/>
        <w:rPr>
          <w:rFonts w:asciiTheme="minorHAnsi" w:hAnsiTheme="minorHAnsi" w:cstheme="minorHAnsi"/>
          <w:sz w:val="22"/>
          <w:szCs w:val="22"/>
        </w:rPr>
      </w:pPr>
      <w:r w:rsidRPr="00797B10">
        <w:rPr>
          <w:rFonts w:asciiTheme="minorHAnsi" w:hAnsiTheme="minorHAnsi" w:cstheme="minorHAnsi"/>
          <w:b/>
          <w:sz w:val="22"/>
          <w:szCs w:val="22"/>
        </w:rPr>
        <w:t>4)</w:t>
      </w:r>
      <w:r w:rsidRPr="00797B10">
        <w:rPr>
          <w:rFonts w:asciiTheme="minorHAnsi" w:hAnsiTheme="minorHAnsi" w:cstheme="minorHAnsi"/>
          <w:sz w:val="22"/>
          <w:szCs w:val="22"/>
        </w:rPr>
        <w:t xml:space="preserve"> Abrir la ubicación del pen drive y copiar allí los archivos seleccionados. </w:t>
      </w:r>
    </w:p>
    <w:p w:rsidR="00797B10" w:rsidRPr="00797B10" w:rsidRDefault="00797B10" w:rsidP="00797B10">
      <w:pPr>
        <w:pStyle w:val="Default"/>
        <w:rPr>
          <w:rFonts w:asciiTheme="minorHAnsi" w:hAnsiTheme="minorHAnsi" w:cstheme="minorHAnsi"/>
          <w:sz w:val="22"/>
          <w:szCs w:val="22"/>
        </w:rPr>
      </w:pPr>
      <w:r w:rsidRPr="00797B10">
        <w:rPr>
          <w:rFonts w:asciiTheme="minorHAnsi" w:hAnsiTheme="minorHAnsi" w:cstheme="minorHAnsi"/>
          <w:b/>
          <w:sz w:val="22"/>
          <w:szCs w:val="22"/>
        </w:rPr>
        <w:t>5)</w:t>
      </w:r>
      <w:r w:rsidRPr="00797B10">
        <w:rPr>
          <w:rFonts w:asciiTheme="minorHAnsi" w:hAnsiTheme="minorHAnsi" w:cstheme="minorHAnsi"/>
          <w:sz w:val="22"/>
          <w:szCs w:val="22"/>
        </w:rPr>
        <w:t xml:space="preserve"> Realizar “Extracción segura del dispositivo” (pen drive) para evitar daños en el medio de al</w:t>
      </w:r>
      <w:r>
        <w:rPr>
          <w:rFonts w:asciiTheme="minorHAnsi" w:hAnsiTheme="minorHAnsi" w:cstheme="minorHAnsi"/>
          <w:sz w:val="22"/>
          <w:szCs w:val="22"/>
        </w:rPr>
        <w:t xml:space="preserve">macenamiento. </w:t>
      </w:r>
    </w:p>
    <w:p w:rsidR="00797B10" w:rsidRPr="00797B10" w:rsidRDefault="00797B10" w:rsidP="00797B10">
      <w:pPr>
        <w:pStyle w:val="Default"/>
        <w:rPr>
          <w:rFonts w:asciiTheme="minorHAnsi" w:hAnsiTheme="minorHAnsi" w:cstheme="minorHAnsi"/>
          <w:sz w:val="22"/>
          <w:szCs w:val="22"/>
        </w:rPr>
      </w:pPr>
      <w:r w:rsidRPr="00797B10">
        <w:rPr>
          <w:rFonts w:asciiTheme="minorHAnsi" w:hAnsiTheme="minorHAnsi" w:cstheme="minorHAnsi"/>
          <w:b/>
          <w:sz w:val="22"/>
          <w:szCs w:val="22"/>
        </w:rPr>
        <w:t>6)</w:t>
      </w:r>
      <w:r w:rsidRPr="00797B10">
        <w:rPr>
          <w:rFonts w:asciiTheme="minorHAnsi" w:hAnsiTheme="minorHAnsi" w:cstheme="minorHAnsi"/>
          <w:sz w:val="22"/>
          <w:szCs w:val="22"/>
        </w:rPr>
        <w:t xml:space="preserve"> Quitar el pen drive del conector USB. </w:t>
      </w:r>
    </w:p>
    <w:p w:rsidR="00797B10" w:rsidRDefault="00797B10" w:rsidP="00797B10">
      <w:pPr>
        <w:pStyle w:val="Default"/>
        <w:spacing w:after="64"/>
        <w:jc w:val="both"/>
        <w:rPr>
          <w:rFonts w:asciiTheme="minorHAnsi" w:hAnsiTheme="minorHAnsi" w:cstheme="minorHAnsi"/>
          <w:sz w:val="22"/>
          <w:szCs w:val="22"/>
        </w:rPr>
      </w:pPr>
    </w:p>
    <w:p w:rsidR="00245A61" w:rsidRDefault="00245A61" w:rsidP="00797B10">
      <w:pPr>
        <w:pStyle w:val="Default"/>
        <w:spacing w:after="64"/>
        <w:jc w:val="both"/>
        <w:rPr>
          <w:rFonts w:asciiTheme="minorHAnsi" w:hAnsiTheme="minorHAnsi" w:cstheme="minorHAnsi"/>
          <w:sz w:val="22"/>
          <w:szCs w:val="22"/>
        </w:rPr>
      </w:pPr>
    </w:p>
    <w:p w:rsidR="009923CB" w:rsidRPr="00245A61" w:rsidRDefault="009923CB" w:rsidP="00245A61">
      <w:pPr>
        <w:pStyle w:val="Sinespaciado"/>
        <w:rPr>
          <w:b/>
          <w:sz w:val="26"/>
          <w:szCs w:val="26"/>
          <w:u w:val="single"/>
        </w:rPr>
      </w:pPr>
      <w:r w:rsidRPr="00245A61">
        <w:rPr>
          <w:b/>
          <w:sz w:val="26"/>
          <w:szCs w:val="26"/>
          <w:u w:val="single"/>
        </w:rPr>
        <w:t xml:space="preserve">Backup del código fuente </w:t>
      </w:r>
    </w:p>
    <w:p w:rsidR="009923CB" w:rsidRPr="009923CB" w:rsidRDefault="009923CB" w:rsidP="009923CB">
      <w:pPr>
        <w:pStyle w:val="Sinespaciado"/>
        <w:rPr>
          <w:sz w:val="10"/>
          <w:szCs w:val="10"/>
        </w:rPr>
      </w:pPr>
    </w:p>
    <w:p w:rsidR="009923CB" w:rsidRPr="00636B89" w:rsidRDefault="009923CB" w:rsidP="00636B89">
      <w:pPr>
        <w:pStyle w:val="Sinespaciado"/>
        <w:jc w:val="both"/>
      </w:pPr>
      <w:r w:rsidRPr="00636B89">
        <w:tab/>
        <w:t xml:space="preserve">El código fuente va a estar alojado en un file hosting pago, el mismo posee transferencia encriptada de datos (SFTP o Secure File Transfer Protocol) para evitar la captura de información en la transferencia. </w:t>
      </w:r>
    </w:p>
    <w:p w:rsidR="00636B89" w:rsidRPr="00636B89" w:rsidRDefault="009923CB" w:rsidP="00636B89">
      <w:pPr>
        <w:pStyle w:val="Sinespaciado"/>
        <w:jc w:val="both"/>
      </w:pPr>
      <w:r w:rsidRPr="00636B89">
        <w:tab/>
        <w:t>Además se guarda el código en un pen drive pro</w:t>
      </w:r>
      <w:r w:rsidR="006E696A" w:rsidRPr="00636B89">
        <w:t xml:space="preserve">pio </w:t>
      </w:r>
      <w:r w:rsidR="00636B89" w:rsidRPr="00636B89">
        <w:t>y almacenado físicamente bajo llave.</w:t>
      </w:r>
    </w:p>
    <w:p w:rsidR="009923CB" w:rsidRDefault="00636B89" w:rsidP="00636B89">
      <w:pPr>
        <w:pStyle w:val="Sinespaciado"/>
        <w:jc w:val="both"/>
      </w:pPr>
      <w:r w:rsidRPr="00636B89">
        <w:t xml:space="preserve">El pen drive estará </w:t>
      </w:r>
      <w:r w:rsidR="006E696A" w:rsidRPr="00636B89">
        <w:t xml:space="preserve">protegido con encriptación usando </w:t>
      </w:r>
      <w:r w:rsidR="006E696A" w:rsidRPr="00245A61">
        <w:rPr>
          <w:b/>
        </w:rPr>
        <w:t>BitLocker</w:t>
      </w:r>
      <w:r w:rsidR="006E696A" w:rsidRPr="00636B89">
        <w:t xml:space="preserve"> (sistema</w:t>
      </w:r>
      <w:r w:rsidRPr="00636B89">
        <w:t xml:space="preserve"> incluido en Windows 7</w:t>
      </w:r>
      <w:r w:rsidR="006E696A" w:rsidRPr="00636B89">
        <w:t xml:space="preserve"> </w:t>
      </w:r>
      <w:r w:rsidRPr="00636B89">
        <w:t xml:space="preserve">y </w:t>
      </w:r>
      <w:hyperlink r:id="rId13" w:tooltip="Windows Server 2008 R2" w:history="1">
        <w:r w:rsidRPr="00636B89">
          <w:t>Windows Server 2008</w:t>
        </w:r>
      </w:hyperlink>
      <w:r w:rsidRPr="00636B89">
        <w:t xml:space="preserve"> que permite cifrar las unidades extraíbles, lo cual</w:t>
      </w:r>
      <w:r w:rsidR="006E696A" w:rsidRPr="00636B89">
        <w:t xml:space="preserve"> nos garantizará la confidencialidad de los datos </w:t>
      </w:r>
      <w:r w:rsidRPr="00636B89">
        <w:t>almacenados).</w:t>
      </w:r>
    </w:p>
    <w:p w:rsidR="0092120B" w:rsidRDefault="0092120B" w:rsidP="00636B89">
      <w:pPr>
        <w:pStyle w:val="Sinespaciado"/>
        <w:jc w:val="both"/>
      </w:pPr>
    </w:p>
    <w:p w:rsidR="0092120B" w:rsidRPr="0092120B" w:rsidRDefault="0092120B" w:rsidP="0092120B">
      <w:pPr>
        <w:pStyle w:val="Sinespaciado"/>
        <w:jc w:val="both"/>
      </w:pPr>
      <w:r w:rsidRPr="0092120B">
        <w:t xml:space="preserve">El Cifrado de unidad </w:t>
      </w:r>
      <w:r w:rsidRPr="0092120B">
        <w:rPr>
          <w:b/>
        </w:rPr>
        <w:t>BitLocker</w:t>
      </w:r>
      <w:r w:rsidRPr="0092120B">
        <w:t xml:space="preserve"> es una característica de seguridad integral del sistema operativo Windows 7 que ayuda a proteger los datos almacenados en unidades de datos fijas y extraíbles y en la unidad del sistema operativo. BitLocker protege de "ataques sin conexión", que son aquéllos que se realizan deshabilitando o evitando el sistema operativo instalado, o bien, quitando físicamente el disco duro para atacar los datos por separado. En el caso de las unidades de datos fijas y extraíbles, BitLocker ayuda a garantizar que los usuarios pueden leer y escribir datos en la unidad solo cuando cuentan con la contraseña correspondiente, con credenciales de tarjeta inteligente o cuando usan la unidad de datos en un equipo protegido con BitLocker que tenga las claves adecuadas. Si en su organización hay equipos que ejecuten versiones anteriores de Windows, se puede usar el Lector de BitLocker To Go™ para permitir a esos equipos leer las unidades extraíbles protegidas con BitLocker.</w:t>
      </w:r>
    </w:p>
    <w:p w:rsidR="0092120B" w:rsidRPr="0092120B" w:rsidRDefault="0092120B" w:rsidP="0092120B">
      <w:pPr>
        <w:pStyle w:val="Sinespaciado"/>
        <w:jc w:val="both"/>
      </w:pPr>
      <w:r w:rsidRPr="0092120B">
        <w:t xml:space="preserve">La protección de BitLocker en unidades del sistema operativo admite la autenticación de dos factores mediante el uso del Módulo de plataforma segura (TPM) junto con un número de identificación personal (PIN) o clave de inicio, así como la autenticación de un solo factor mediante el almacenamiento de una clave en una unidad flash USB o mediante el uso solo del TPM. El uso de BitLocker con un TPM proporciona una mayor protección a los datos y ayuda a garantizar la integridad del componente de arranque inicial. Esta opción requiere que el equipo disponga de un microchip de TPM y una BIOS compatibles. Un TPM compatible se define como la versión 1.2 del TPM. Una BIOS compatible debe admitir el TPM y la raíz estática de Trust Measurement, tal y como define Trusted Computing Group. </w:t>
      </w:r>
    </w:p>
    <w:p w:rsidR="0092120B" w:rsidRPr="0092120B" w:rsidRDefault="0092120B" w:rsidP="0092120B">
      <w:pPr>
        <w:pStyle w:val="Sinespaciado"/>
        <w:jc w:val="both"/>
      </w:pPr>
      <w:r w:rsidRPr="0092120B">
        <w:t xml:space="preserve">El TPM interactúa con la protección de la unidad del sistema operativo de BitLocker para ayudar a proporcionar protección al inicio del sistema. El usuario no puede apreciar esto y el inicio de sesión de usuario no cambia. Sin embargo, si la información de inicio varía, BitLocker pasará al </w:t>
      </w:r>
      <w:r w:rsidRPr="0092120B">
        <w:lastRenderedPageBreak/>
        <w:t>modo de recuperación y se necesitará una contraseña o clave de recuperación para volver a tener acceso a los datos.</w:t>
      </w:r>
    </w:p>
    <w:p w:rsidR="0092120B" w:rsidRDefault="0092120B" w:rsidP="00636B89">
      <w:pPr>
        <w:pStyle w:val="Sinespaciado"/>
        <w:jc w:val="both"/>
      </w:pPr>
    </w:p>
    <w:p w:rsidR="0092120B" w:rsidRDefault="0092120B" w:rsidP="00636B89">
      <w:pPr>
        <w:pStyle w:val="Sinespaciado"/>
        <w:jc w:val="both"/>
      </w:pPr>
      <w:r>
        <w:t xml:space="preserve">Procedimiento de </w:t>
      </w:r>
      <w:r w:rsidRPr="006B5588">
        <w:rPr>
          <w:b/>
        </w:rPr>
        <w:t>BitLocker</w:t>
      </w:r>
      <w:r>
        <w:t>:</w:t>
      </w:r>
    </w:p>
    <w:p w:rsidR="0092120B" w:rsidRPr="0092120B" w:rsidRDefault="0092120B" w:rsidP="0092120B">
      <w:pPr>
        <w:pStyle w:val="Sinespaciado"/>
        <w:numPr>
          <w:ilvl w:val="0"/>
          <w:numId w:val="7"/>
        </w:numPr>
        <w:jc w:val="both"/>
      </w:pPr>
      <w:r w:rsidRPr="0092120B">
        <w:t>Haga clic en </w:t>
      </w:r>
      <w:r w:rsidRPr="0092120B">
        <w:rPr>
          <w:b/>
          <w:bCs/>
        </w:rPr>
        <w:t>Inicio</w:t>
      </w:r>
      <w:r w:rsidRPr="0092120B">
        <w:t>, en </w:t>
      </w:r>
      <w:r w:rsidRPr="0092120B">
        <w:rPr>
          <w:b/>
          <w:bCs/>
        </w:rPr>
        <w:t>Panel de control</w:t>
      </w:r>
      <w:r w:rsidRPr="0092120B">
        <w:t>, en </w:t>
      </w:r>
      <w:r w:rsidRPr="0092120B">
        <w:rPr>
          <w:b/>
          <w:bCs/>
        </w:rPr>
        <w:t>Sistema y seguridad</w:t>
      </w:r>
      <w:r w:rsidRPr="0092120B">
        <w:t> y, a continuación, en </w:t>
      </w:r>
      <w:r w:rsidRPr="0092120B">
        <w:rPr>
          <w:b/>
          <w:bCs/>
        </w:rPr>
        <w:t>Cifrado de unidad BitLocker</w:t>
      </w:r>
      <w:r w:rsidRPr="0092120B">
        <w:t>.</w:t>
      </w:r>
    </w:p>
    <w:p w:rsidR="0092120B" w:rsidRPr="0092120B" w:rsidRDefault="0092120B" w:rsidP="0092120B">
      <w:pPr>
        <w:pStyle w:val="Sinespaciado"/>
        <w:numPr>
          <w:ilvl w:val="0"/>
          <w:numId w:val="7"/>
        </w:numPr>
        <w:jc w:val="both"/>
      </w:pPr>
      <w:r w:rsidRPr="0092120B">
        <w:t>Haga clic en </w:t>
      </w:r>
      <w:r w:rsidRPr="0092120B">
        <w:rPr>
          <w:b/>
          <w:bCs/>
        </w:rPr>
        <w:t>Activar BitLocker</w:t>
      </w:r>
      <w:r w:rsidRPr="0092120B">
        <w:t> para la unidad de datos fija o extraíble que desea cifrar.</w:t>
      </w:r>
    </w:p>
    <w:p w:rsidR="0092120B" w:rsidRPr="0092120B" w:rsidRDefault="006B5588" w:rsidP="006B5588">
      <w:pPr>
        <w:pStyle w:val="Sinespaciado"/>
        <w:numPr>
          <w:ilvl w:val="0"/>
          <w:numId w:val="7"/>
        </w:numPr>
        <w:jc w:val="both"/>
      </w:pPr>
      <w:r>
        <w:t xml:space="preserve">Digitar la clave de recuperación (EJ: SistemaFlota2012*). </w:t>
      </w:r>
      <w:r w:rsidR="0092120B" w:rsidRPr="0092120B">
        <w:t>Cuando finaliz</w:t>
      </w:r>
      <w:r>
        <w:t>o</w:t>
      </w:r>
      <w:r w:rsidR="0092120B" w:rsidRPr="0092120B">
        <w:t xml:space="preserve"> </w:t>
      </w:r>
      <w:r>
        <w:t xml:space="preserve">el proceso </w:t>
      </w:r>
      <w:r w:rsidR="0092120B" w:rsidRPr="0092120B">
        <w:t>de guardar la clave de recuperación, haga clic en </w:t>
      </w:r>
      <w:r w:rsidR="0092120B" w:rsidRPr="0092120B">
        <w:rPr>
          <w:b/>
          <w:bCs/>
        </w:rPr>
        <w:t>Siguiente</w:t>
      </w:r>
      <w:r w:rsidR="0092120B" w:rsidRPr="0092120B">
        <w:t>.</w:t>
      </w:r>
    </w:p>
    <w:p w:rsidR="0092120B" w:rsidRPr="0092120B" w:rsidRDefault="0092120B" w:rsidP="0092120B">
      <w:pPr>
        <w:pStyle w:val="Sinespaciado"/>
        <w:numPr>
          <w:ilvl w:val="0"/>
          <w:numId w:val="7"/>
        </w:numPr>
        <w:jc w:val="both"/>
      </w:pPr>
      <w:r w:rsidRPr="0092120B">
        <w:t>El Asistente para la instalación de BitLocker le pregunta si está listo para cifrar la unidad. Haga clic en </w:t>
      </w:r>
      <w:r w:rsidRPr="0092120B">
        <w:rPr>
          <w:b/>
          <w:bCs/>
        </w:rPr>
        <w:t>Iniciar cifrado</w:t>
      </w:r>
      <w:r w:rsidRPr="0092120B">
        <w:t>.</w:t>
      </w:r>
    </w:p>
    <w:p w:rsidR="006B5588" w:rsidRDefault="0092120B" w:rsidP="0092120B">
      <w:pPr>
        <w:pStyle w:val="Sinespaciado"/>
        <w:numPr>
          <w:ilvl w:val="0"/>
          <w:numId w:val="7"/>
        </w:numPr>
        <w:jc w:val="both"/>
      </w:pPr>
      <w:r w:rsidRPr="0092120B">
        <w:t>Aparece la barra de estado </w:t>
      </w:r>
      <w:r w:rsidRPr="006B5588">
        <w:rPr>
          <w:b/>
          <w:bCs/>
        </w:rPr>
        <w:t>Cifrando</w:t>
      </w:r>
      <w:r w:rsidRPr="0092120B">
        <w:t xml:space="preserve">. </w:t>
      </w:r>
    </w:p>
    <w:p w:rsidR="0092120B" w:rsidRPr="0092120B" w:rsidRDefault="0092120B" w:rsidP="0092120B">
      <w:pPr>
        <w:pStyle w:val="Sinespaciado"/>
        <w:numPr>
          <w:ilvl w:val="0"/>
          <w:numId w:val="7"/>
        </w:numPr>
        <w:jc w:val="both"/>
      </w:pPr>
      <w:r w:rsidRPr="0092120B">
        <w:t>Al completar este procedimiento, habrá cifrado una unidad de datos fija o extraíble, asociado un protector de clave con un método de desbloqueo para la unidad y creado una clave de recuperación que es única para esta unidad.</w:t>
      </w:r>
    </w:p>
    <w:p w:rsidR="0092120B" w:rsidRDefault="0092120B" w:rsidP="00636B89">
      <w:pPr>
        <w:pStyle w:val="Sinespaciado"/>
        <w:jc w:val="both"/>
      </w:pPr>
    </w:p>
    <w:p w:rsidR="00245A61" w:rsidRPr="00636B89" w:rsidRDefault="00245A61" w:rsidP="00636B89">
      <w:pPr>
        <w:pStyle w:val="Sinespaciado"/>
        <w:jc w:val="both"/>
      </w:pPr>
    </w:p>
    <w:p w:rsidR="00636B89" w:rsidRDefault="00636B89" w:rsidP="00636B89">
      <w:pPr>
        <w:pStyle w:val="Sinespaciado"/>
        <w:jc w:val="both"/>
      </w:pPr>
      <w:r>
        <w:tab/>
        <w:t xml:space="preserve">Tanto el pen drive donde se almacena el backup de base de datos y el de código fuente </w:t>
      </w:r>
      <w:r w:rsidRPr="00E71C42">
        <w:t>deberá</w:t>
      </w:r>
      <w:r>
        <w:t>n estar claramente identificados</w:t>
      </w:r>
      <w:r w:rsidRPr="00E71C42">
        <w:t>, con etiquetas que indiquen como mínimo:</w:t>
      </w:r>
    </w:p>
    <w:p w:rsidR="00E053A8" w:rsidRPr="00E053A8" w:rsidRDefault="00E053A8" w:rsidP="00636B89">
      <w:pPr>
        <w:pStyle w:val="Sinespaciado"/>
        <w:jc w:val="both"/>
        <w:rPr>
          <w:sz w:val="10"/>
          <w:szCs w:val="10"/>
        </w:rPr>
      </w:pPr>
    </w:p>
    <w:p w:rsidR="00636B89" w:rsidRPr="00E71C42" w:rsidRDefault="00636B89" w:rsidP="00636B89">
      <w:pPr>
        <w:pStyle w:val="Sinespaciado"/>
      </w:pPr>
      <w:r w:rsidRPr="00E71C42">
        <w:t>a) Equipo al que pertenecen</w:t>
      </w:r>
    </w:p>
    <w:p w:rsidR="00636B89" w:rsidRPr="00E71C42" w:rsidRDefault="00636B89" w:rsidP="00636B89">
      <w:pPr>
        <w:pStyle w:val="Sinespaciado"/>
      </w:pPr>
      <w:r w:rsidRPr="00E71C42">
        <w:t>b) Fecha y hora de ejecución</w:t>
      </w:r>
    </w:p>
    <w:p w:rsidR="00636B89" w:rsidRPr="00E71C42" w:rsidRDefault="00636B89" w:rsidP="00636B89">
      <w:pPr>
        <w:pStyle w:val="Sinespaciado"/>
      </w:pPr>
      <w:r w:rsidRPr="00E71C42">
        <w:t>c) Frecuencia: anual, mensual, semanal, diario</w:t>
      </w:r>
    </w:p>
    <w:p w:rsidR="00636B89" w:rsidRPr="00E71C42" w:rsidRDefault="00636B89" w:rsidP="00636B89">
      <w:pPr>
        <w:pStyle w:val="Sinespaciado"/>
      </w:pPr>
      <w:r w:rsidRPr="00E71C42">
        <w:t>d) número de secuencia o lote</w:t>
      </w:r>
    </w:p>
    <w:p w:rsidR="00636B89" w:rsidRPr="00E71C42" w:rsidRDefault="00636B89" w:rsidP="00636B89">
      <w:pPr>
        <w:pStyle w:val="Sinespaciado"/>
      </w:pPr>
      <w:r w:rsidRPr="00E71C42">
        <w:t>e) Tipo de backup</w:t>
      </w:r>
    </w:p>
    <w:p w:rsidR="00636B89" w:rsidRDefault="00636B89" w:rsidP="00636B89">
      <w:pPr>
        <w:pStyle w:val="Sinespaciado"/>
      </w:pPr>
      <w:r w:rsidRPr="00E71C42">
        <w:t>f) Nombre del sistema o aplicativo</w:t>
      </w:r>
    </w:p>
    <w:p w:rsidR="00E053A8" w:rsidRDefault="00E053A8" w:rsidP="00636B89">
      <w:pPr>
        <w:pStyle w:val="Sinespaciado"/>
      </w:pPr>
    </w:p>
    <w:p w:rsidR="00E053A8" w:rsidRPr="00E053A8" w:rsidRDefault="00E053A8" w:rsidP="00E053A8">
      <w:pPr>
        <w:jc w:val="both"/>
        <w:rPr>
          <w:rFonts w:ascii="Calibri" w:hAnsi="Calibri" w:cs="Calibri"/>
        </w:rPr>
      </w:pPr>
      <w:r>
        <w:rPr>
          <w:rFonts w:ascii="Calibri" w:hAnsi="Calibri" w:cs="Calibri"/>
        </w:rPr>
        <w:tab/>
      </w:r>
      <w:r w:rsidRPr="00E71C42">
        <w:rPr>
          <w:rFonts w:ascii="Calibri" w:hAnsi="Calibri" w:cs="Calibri"/>
        </w:rPr>
        <w:t>Todos los procedimientos de respaldo deberán generar un log en el equipo que permita la revisión del resultado de la ejecución</w:t>
      </w:r>
      <w:r>
        <w:rPr>
          <w:rFonts w:ascii="Calibri" w:hAnsi="Calibri" w:cs="Calibri"/>
        </w:rPr>
        <w:t xml:space="preserve">. Los mismos se almacenarán en </w:t>
      </w:r>
      <w:r w:rsidRPr="00245A61">
        <w:rPr>
          <w:rFonts w:ascii="Calibri" w:hAnsi="Calibri" w:cs="Calibri"/>
          <w:b/>
        </w:rPr>
        <w:t>“C:\</w:t>
      </w:r>
      <w:r w:rsidR="006B5588">
        <w:rPr>
          <w:rFonts w:ascii="Calibri" w:hAnsi="Calibri" w:cs="Calibri"/>
          <w:b/>
        </w:rPr>
        <w:t>SistFlota</w:t>
      </w:r>
      <w:r w:rsidRPr="00245A61">
        <w:rPr>
          <w:rFonts w:ascii="Calibri" w:hAnsi="Calibri" w:cs="Calibri"/>
          <w:b/>
        </w:rPr>
        <w:t>”</w:t>
      </w:r>
    </w:p>
    <w:p w:rsidR="00636B89" w:rsidRDefault="00E053A8" w:rsidP="00E053A8">
      <w:pPr>
        <w:pStyle w:val="Sinespaciado"/>
        <w:jc w:val="both"/>
      </w:pPr>
      <w:r>
        <w:tab/>
      </w:r>
      <w:r w:rsidRPr="00E71C42">
        <w:t xml:space="preserve">Se efectuarán pruebas de recuperación de las copias de resguardo al menos una vez cada 30 días. Estas pruebas servirán para constatar que se puedan obtener correctamente los datos grabados </w:t>
      </w:r>
      <w:r>
        <w:t>tanto en el disco como en el pen drive</w:t>
      </w:r>
      <w:r w:rsidRPr="00E71C42">
        <w:t xml:space="preserve"> al momento de ser necesarios, de forma de garantizar su propósito.</w:t>
      </w:r>
    </w:p>
    <w:p w:rsidR="00E053A8" w:rsidRDefault="00E053A8" w:rsidP="00E053A8">
      <w:pPr>
        <w:pStyle w:val="Sinespaciado"/>
        <w:jc w:val="both"/>
      </w:pPr>
    </w:p>
    <w:p w:rsidR="00797B10" w:rsidRDefault="00797B10" w:rsidP="00797B10">
      <w:pPr>
        <w:pStyle w:val="Ttulo1"/>
      </w:pPr>
      <w:r>
        <w:t>Restauración de los archivos de Backup:</w:t>
      </w:r>
    </w:p>
    <w:p w:rsidR="00797B10" w:rsidRDefault="00797B10" w:rsidP="009923CB">
      <w:pPr>
        <w:pStyle w:val="Sinespaciado"/>
        <w:jc w:val="both"/>
      </w:pPr>
    </w:p>
    <w:p w:rsidR="009923CB" w:rsidRPr="00E71C42" w:rsidRDefault="00797B10" w:rsidP="009923CB">
      <w:pPr>
        <w:pStyle w:val="Sinespaciado"/>
        <w:jc w:val="both"/>
      </w:pPr>
      <w:r>
        <w:tab/>
      </w:r>
      <w:r w:rsidR="009923CB" w:rsidRPr="00E71C42">
        <w:t>La recuperación de sistemas resulta necesaria posterior a la interrupción del Servicio. En tales circunstancias se exige una acción rápida para recuperar el estado operativo anterior a la ocurrencia del siniestro.</w:t>
      </w:r>
    </w:p>
    <w:p w:rsidR="00797B10" w:rsidRDefault="009923CB" w:rsidP="009923CB">
      <w:pPr>
        <w:pStyle w:val="Sinespaciado"/>
        <w:jc w:val="both"/>
      </w:pPr>
      <w:r>
        <w:tab/>
      </w:r>
      <w:r w:rsidR="00797B10">
        <w:t xml:space="preserve">El responsable de realizar la restauración es el administrador del sistema, y el proceso de restauración consiste en: </w:t>
      </w:r>
    </w:p>
    <w:p w:rsidR="00797B10" w:rsidRPr="00797B10" w:rsidRDefault="00797B10" w:rsidP="00797B10">
      <w:pPr>
        <w:pStyle w:val="Sinespaciado"/>
        <w:rPr>
          <w:sz w:val="10"/>
          <w:szCs w:val="10"/>
        </w:rPr>
      </w:pPr>
    </w:p>
    <w:p w:rsidR="00797B10" w:rsidRDefault="00797B10" w:rsidP="00797B10">
      <w:pPr>
        <w:pStyle w:val="Sinespaciado"/>
      </w:pPr>
      <w:r>
        <w:rPr>
          <w:rFonts w:ascii="Calibri" w:hAnsi="Calibri" w:cs="Calibri"/>
        </w:rPr>
        <w:t xml:space="preserve">- </w:t>
      </w:r>
      <w:r>
        <w:t xml:space="preserve">Determinar cuál/es base/s de datos fueran afectadas </w:t>
      </w:r>
    </w:p>
    <w:p w:rsidR="00797B10" w:rsidRDefault="00797B10" w:rsidP="00797B10">
      <w:pPr>
        <w:pStyle w:val="Sinespaciado"/>
      </w:pPr>
      <w:r>
        <w:rPr>
          <w:rFonts w:ascii="Calibri" w:hAnsi="Calibri" w:cs="Calibri"/>
        </w:rPr>
        <w:t xml:space="preserve">- </w:t>
      </w:r>
      <w:r>
        <w:t xml:space="preserve">Seleccionar el backup mas reciente. </w:t>
      </w:r>
    </w:p>
    <w:p w:rsidR="00797B10" w:rsidRDefault="00797B10" w:rsidP="00797B10">
      <w:pPr>
        <w:pStyle w:val="Sinespaciado"/>
      </w:pPr>
      <w:r>
        <w:rPr>
          <w:rFonts w:ascii="Calibri" w:hAnsi="Calibri" w:cs="Calibri"/>
        </w:rPr>
        <w:t xml:space="preserve">- </w:t>
      </w:r>
      <w:r>
        <w:t xml:space="preserve">Restaurar la/s base/s de datos. </w:t>
      </w:r>
    </w:p>
    <w:p w:rsidR="00797B10" w:rsidRDefault="00797B10" w:rsidP="00797B10">
      <w:pPr>
        <w:pStyle w:val="Default"/>
        <w:rPr>
          <w:sz w:val="22"/>
          <w:szCs w:val="22"/>
        </w:rPr>
      </w:pPr>
    </w:p>
    <w:p w:rsidR="00EE1FA4" w:rsidRDefault="00EE1FA4" w:rsidP="00EE1FA4">
      <w:pPr>
        <w:pStyle w:val="Ttulo3"/>
      </w:pPr>
      <w:bookmarkStart w:id="0" w:name="restaurar"/>
      <w:r>
        <w:lastRenderedPageBreak/>
        <w:t>Restaurar una base de datos</w:t>
      </w:r>
      <w:bookmarkEnd w:id="0"/>
      <w:r>
        <w:t xml:space="preserve"> a partir de una copia de seguridad.</w:t>
      </w:r>
    </w:p>
    <w:p w:rsidR="00E053A8" w:rsidRPr="00E053A8" w:rsidRDefault="00E053A8" w:rsidP="00E053A8">
      <w:pPr>
        <w:pStyle w:val="Sinespaciado"/>
      </w:pPr>
    </w:p>
    <w:p w:rsidR="00EE1FA4" w:rsidRDefault="00EE1FA4" w:rsidP="00EE1FA4">
      <w:pPr>
        <w:pStyle w:val="Sinespaciado"/>
        <w:numPr>
          <w:ilvl w:val="0"/>
          <w:numId w:val="5"/>
        </w:numPr>
      </w:pPr>
      <w:r>
        <w:t>En el Explorador de objetos, pulsa con el botón secundario sobre la carpeta Bases de datos y del menú desplegable, selecciona “Restaurar base de datos”:</w:t>
      </w:r>
    </w:p>
    <w:p w:rsidR="00EE1FA4" w:rsidRDefault="0072061C" w:rsidP="00EE1FA4">
      <w:pPr>
        <w:pStyle w:val="NormalWeb"/>
        <w:jc w:val="center"/>
      </w:pPr>
      <w:r>
        <w:rPr>
          <w:noProof/>
        </w:rPr>
        <w:drawing>
          <wp:inline distT="0" distB="0" distL="0" distR="0">
            <wp:extent cx="5609590" cy="324485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609590" cy="3244850"/>
                    </a:xfrm>
                    <a:prstGeom prst="rect">
                      <a:avLst/>
                    </a:prstGeom>
                    <a:noFill/>
                    <a:ln w="9525">
                      <a:noFill/>
                      <a:miter lim="800000"/>
                      <a:headEnd/>
                      <a:tailEnd/>
                    </a:ln>
                  </pic:spPr>
                </pic:pic>
              </a:graphicData>
            </a:graphic>
          </wp:inline>
        </w:drawing>
      </w:r>
    </w:p>
    <w:p w:rsidR="00EE1FA4" w:rsidRDefault="00E053A8" w:rsidP="00E053A8">
      <w:pPr>
        <w:pStyle w:val="Sinespaciado"/>
        <w:jc w:val="both"/>
      </w:pPr>
      <w:r>
        <w:tab/>
      </w:r>
      <w:r w:rsidR="00EE1FA4">
        <w:t>Si se va a restaurar como una nueva base de datos, se deberá escribir el nombre correspondiente en la caja de texto “</w:t>
      </w:r>
      <w:r w:rsidR="00EE1FA4">
        <w:rPr>
          <w:b/>
          <w:bCs/>
        </w:rPr>
        <w:t>A una base de datos”</w:t>
      </w:r>
      <w:r w:rsidR="00EE1FA4">
        <w:t xml:space="preserve">, en nuestro caso por ejemplo, la base de datos que voy a restaurar se llama </w:t>
      </w:r>
      <w:r w:rsidR="00EE1FA4">
        <w:rPr>
          <w:b/>
          <w:bCs/>
        </w:rPr>
        <w:t>Restore</w:t>
      </w:r>
      <w:r w:rsidR="00EE1FA4">
        <w:t>:</w:t>
      </w:r>
    </w:p>
    <w:p w:rsidR="00EE1FA4" w:rsidRPr="00E053A8" w:rsidRDefault="00EE1FA4" w:rsidP="00E053A8">
      <w:pPr>
        <w:pStyle w:val="Sinespaciado"/>
        <w:jc w:val="both"/>
      </w:pPr>
    </w:p>
    <w:p w:rsidR="00EE1FA4" w:rsidRDefault="0072061C" w:rsidP="00EE1FA4">
      <w:pPr>
        <w:pStyle w:val="Sinespaciado"/>
        <w:jc w:val="center"/>
      </w:pPr>
      <w:r>
        <w:rPr>
          <w:noProof/>
          <w:lang w:eastAsia="es-AR"/>
        </w:rPr>
        <w:drawing>
          <wp:inline distT="0" distB="0" distL="0" distR="0">
            <wp:extent cx="3362910" cy="3023419"/>
            <wp:effectExtent l="19050" t="0" r="89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3362705" cy="3023235"/>
                    </a:xfrm>
                    <a:prstGeom prst="rect">
                      <a:avLst/>
                    </a:prstGeom>
                    <a:noFill/>
                    <a:ln w="9525">
                      <a:noFill/>
                      <a:miter lim="800000"/>
                      <a:headEnd/>
                      <a:tailEnd/>
                    </a:ln>
                  </pic:spPr>
                </pic:pic>
              </a:graphicData>
            </a:graphic>
          </wp:inline>
        </w:drawing>
      </w:r>
    </w:p>
    <w:p w:rsidR="00EE1FA4" w:rsidRPr="004A093D" w:rsidRDefault="00EE1FA4" w:rsidP="00797B10">
      <w:pPr>
        <w:pStyle w:val="Default"/>
        <w:rPr>
          <w:sz w:val="10"/>
          <w:szCs w:val="10"/>
        </w:rPr>
      </w:pPr>
    </w:p>
    <w:p w:rsidR="001F5886" w:rsidRPr="00797B10" w:rsidRDefault="001F5886" w:rsidP="001F5886">
      <w:pPr>
        <w:pStyle w:val="Sinespaciado"/>
        <w:jc w:val="both"/>
        <w:rPr>
          <w:rFonts w:cstheme="minorHAnsi"/>
        </w:rPr>
      </w:pPr>
      <w:r>
        <w:lastRenderedPageBreak/>
        <w:tab/>
      </w:r>
      <w:r w:rsidR="00EE1FA4">
        <w:t xml:space="preserve">Antes de poder hacer la restauración de la base de datos, debemos informar dónde está guardada la copia de seguridad. Para ello </w:t>
      </w:r>
      <w:r>
        <w:t xml:space="preserve">marcamos </w:t>
      </w:r>
      <w:r w:rsidR="00EE1FA4">
        <w:t xml:space="preserve">la opción </w:t>
      </w:r>
      <w:r w:rsidR="00EE1FA4">
        <w:rPr>
          <w:b/>
          <w:bCs/>
        </w:rPr>
        <w:t>Desde dispositivo</w:t>
      </w:r>
      <w:r w:rsidR="00EE1FA4">
        <w:t xml:space="preserve"> y pulsa</w:t>
      </w:r>
      <w:r>
        <w:t>mos</w:t>
      </w:r>
      <w:r w:rsidR="00EE1FA4">
        <w:t xml:space="preserve"> el botón para seleccionar el fichero de copia de seguridad de la base</w:t>
      </w:r>
      <w:r>
        <w:t xml:space="preserve"> y luego en el botón </w:t>
      </w:r>
      <w:r>
        <w:rPr>
          <w:b/>
          <w:bCs/>
        </w:rPr>
        <w:t>Agregar</w:t>
      </w:r>
      <w:r>
        <w:t xml:space="preserve"> para que nos muestre el cuadro de diálogo para seleccionar la copia de seguridad:</w:t>
      </w:r>
    </w:p>
    <w:p w:rsidR="001F5886" w:rsidRPr="001F5886" w:rsidRDefault="00EE1FA4" w:rsidP="001F5886">
      <w:pPr>
        <w:pStyle w:val="Sinespaciado"/>
        <w:jc w:val="both"/>
        <w:rPr>
          <w:sz w:val="10"/>
          <w:szCs w:val="10"/>
        </w:rPr>
      </w:pPr>
      <w:r>
        <w:t xml:space="preserve"> </w:t>
      </w:r>
    </w:p>
    <w:p w:rsidR="001F5886" w:rsidRPr="004A093D" w:rsidRDefault="0072061C" w:rsidP="004A093D">
      <w:pPr>
        <w:pStyle w:val="Sinespaciado"/>
        <w:jc w:val="center"/>
      </w:pPr>
      <w:r>
        <w:rPr>
          <w:noProof/>
          <w:lang w:eastAsia="es-AR"/>
        </w:rPr>
        <w:drawing>
          <wp:inline distT="0" distB="0" distL="0" distR="0">
            <wp:extent cx="3807255" cy="3406877"/>
            <wp:effectExtent l="19050" t="0" r="27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3807489" cy="3407086"/>
                    </a:xfrm>
                    <a:prstGeom prst="rect">
                      <a:avLst/>
                    </a:prstGeom>
                    <a:noFill/>
                    <a:ln w="9525">
                      <a:noFill/>
                      <a:miter lim="800000"/>
                      <a:headEnd/>
                      <a:tailEnd/>
                    </a:ln>
                  </pic:spPr>
                </pic:pic>
              </a:graphicData>
            </a:graphic>
          </wp:inline>
        </w:drawing>
      </w:r>
    </w:p>
    <w:p w:rsidR="004A093D" w:rsidRDefault="00EE1FA4" w:rsidP="004A093D">
      <w:pPr>
        <w:pStyle w:val="Sinespaciado"/>
        <w:jc w:val="both"/>
      </w:pPr>
      <w:r w:rsidRPr="004A093D">
        <w:br/>
      </w:r>
      <w:r w:rsidR="004A093D">
        <w:tab/>
        <w:t>Pulsamos Aceptar y marcamos</w:t>
      </w:r>
      <w:r w:rsidR="004A093D" w:rsidRPr="004A093D">
        <w:t xml:space="preserve"> la opción </w:t>
      </w:r>
      <w:r w:rsidR="004A093D">
        <w:t>“</w:t>
      </w:r>
      <w:r w:rsidR="004A093D" w:rsidRPr="004A093D">
        <w:t>Restaurar</w:t>
      </w:r>
      <w:r w:rsidR="004A093D">
        <w:t>”</w:t>
      </w:r>
      <w:r w:rsidR="004A093D" w:rsidRPr="004A093D">
        <w:t xml:space="preserve"> del cuadro de diálogo </w:t>
      </w:r>
      <w:r w:rsidR="004A093D">
        <w:t>“Restaurar base de datos – Restore”.</w:t>
      </w:r>
    </w:p>
    <w:p w:rsidR="00797B10" w:rsidRPr="004A093D" w:rsidRDefault="004A093D" w:rsidP="004A093D">
      <w:pPr>
        <w:pStyle w:val="Sinespaciado"/>
        <w:jc w:val="both"/>
      </w:pPr>
      <w:r>
        <w:tab/>
      </w:r>
      <w:r w:rsidRPr="004A093D">
        <w:t>Finalmente pulsa en el botón Aceptar y se realizará la restauración de la base de datos</w:t>
      </w:r>
      <w:r>
        <w:t>.</w:t>
      </w:r>
    </w:p>
    <w:sectPr w:rsidR="00797B10" w:rsidRPr="004A093D" w:rsidSect="00DA2FEF">
      <w:headerReference w:type="default" r:id="rId1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5E4" w:rsidRDefault="007A35E4" w:rsidP="003E6044">
      <w:pPr>
        <w:spacing w:after="0" w:line="240" w:lineRule="auto"/>
      </w:pPr>
      <w:r>
        <w:separator/>
      </w:r>
    </w:p>
  </w:endnote>
  <w:endnote w:type="continuationSeparator" w:id="1">
    <w:p w:rsidR="007A35E4" w:rsidRDefault="007A35E4" w:rsidP="003E60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5E4" w:rsidRDefault="007A35E4" w:rsidP="003E6044">
      <w:pPr>
        <w:spacing w:after="0" w:line="240" w:lineRule="auto"/>
      </w:pPr>
      <w:r>
        <w:separator/>
      </w:r>
    </w:p>
  </w:footnote>
  <w:footnote w:type="continuationSeparator" w:id="1">
    <w:p w:rsidR="007A35E4" w:rsidRDefault="007A35E4" w:rsidP="003E60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044" w:rsidRDefault="003E6044">
    <w:pPr>
      <w:pStyle w:val="Encabezado"/>
    </w:pPr>
    <w:sdt>
      <w:sdtPr>
        <w:id w:val="30565791"/>
        <w:docPartObj>
          <w:docPartGallery w:val="Page Numbers (Margins)"/>
          <w:docPartUnique/>
        </w:docPartObj>
      </w:sdtPr>
      <w:sdtContent>
        <w:r w:rsidRPr="005633A6">
          <w:rPr>
            <w:noProof/>
            <w:lang w:val="es-ES" w:eastAsia="zh-TW"/>
          </w:rPr>
          <w:pict>
            <v:rect id="_x0000_s2049" style="position:absolute;margin-left:0;margin-top:0;width:40.9pt;height:171.9pt;z-index:251660288;mso-position-horizontal:center;mso-position-horizontal-relative:right-margin-area;mso-position-vertical:bottom;mso-position-vertical-relative:margin;v-text-anchor:middle" o:allowincell="f" filled="f" stroked="f">
              <v:textbox style="layout-flow:vertical;mso-layout-flow-alt:bottom-to-top;mso-next-textbox:#_x0000_s2049;mso-fit-shape-to-text:t">
                <w:txbxContent>
                  <w:p w:rsidR="003E6044" w:rsidRDefault="003E6044">
                    <w:pPr>
                      <w:pStyle w:val="Piedepgina"/>
                      <w:rPr>
                        <w:rFonts w:asciiTheme="majorHAnsi" w:hAnsiTheme="majorHAnsi"/>
                        <w:sz w:val="44"/>
                        <w:szCs w:val="44"/>
                      </w:rPr>
                    </w:pPr>
                    <w:r>
                      <w:rPr>
                        <w:rFonts w:asciiTheme="majorHAnsi" w:hAnsiTheme="majorHAnsi"/>
                      </w:rPr>
                      <w:t>Página</w:t>
                    </w:r>
                    <w:fldSimple w:instr=" PAGE    \* MERGEFORMAT ">
                      <w:r w:rsidR="00AD174A" w:rsidRPr="00AD174A">
                        <w:rPr>
                          <w:rFonts w:asciiTheme="majorHAnsi" w:hAnsiTheme="majorHAnsi"/>
                          <w:noProof/>
                          <w:sz w:val="44"/>
                          <w:szCs w:val="44"/>
                        </w:rPr>
                        <w:t>3</w:t>
                      </w:r>
                    </w:fldSimple>
                  </w:p>
                </w:txbxContent>
              </v:textbox>
              <w10:wrap anchorx="page" anchory="margin"/>
            </v:rect>
          </w:pict>
        </w:r>
      </w:sdtContent>
    </w:sdt>
    <w:r>
      <w:t>Cejas Guillermo – Trinidad Adelquis</w:t>
    </w:r>
    <w:r>
      <w:tab/>
    </w:r>
    <w:r w:rsidR="00AD174A">
      <w:tab/>
      <w:t xml:space="preserve">SISTEMA FLOTA TAXIS - </w:t>
    </w:r>
    <w:r>
      <w:t>Políticas de BackUp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C609EB"/>
    <w:multiLevelType w:val="hybridMultilevel"/>
    <w:tmpl w:val="48A206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8BE09B1"/>
    <w:multiLevelType w:val="hybridMultilevel"/>
    <w:tmpl w:val="10B8B2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BEF7AE3"/>
    <w:multiLevelType w:val="hybridMultilevel"/>
    <w:tmpl w:val="B5C6F3D8"/>
    <w:lvl w:ilvl="0" w:tplc="873A3D14">
      <w:start w:val="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C402F74"/>
    <w:multiLevelType w:val="hybridMultilevel"/>
    <w:tmpl w:val="252EDD82"/>
    <w:lvl w:ilvl="0" w:tplc="4E9C1E48">
      <w:start w:val="1"/>
      <w:numFmt w:val="decimal"/>
      <w:lvlText w:val="%1)"/>
      <w:lvlJc w:val="left"/>
      <w:pPr>
        <w:ind w:left="440" w:hanging="360"/>
      </w:pPr>
      <w:rPr>
        <w:rFonts w:hint="default"/>
      </w:rPr>
    </w:lvl>
    <w:lvl w:ilvl="1" w:tplc="2C0A0019" w:tentative="1">
      <w:start w:val="1"/>
      <w:numFmt w:val="lowerLetter"/>
      <w:lvlText w:val="%2."/>
      <w:lvlJc w:val="left"/>
      <w:pPr>
        <w:ind w:left="1160" w:hanging="360"/>
      </w:pPr>
    </w:lvl>
    <w:lvl w:ilvl="2" w:tplc="2C0A001B" w:tentative="1">
      <w:start w:val="1"/>
      <w:numFmt w:val="lowerRoman"/>
      <w:lvlText w:val="%3."/>
      <w:lvlJc w:val="right"/>
      <w:pPr>
        <w:ind w:left="1880" w:hanging="180"/>
      </w:pPr>
    </w:lvl>
    <w:lvl w:ilvl="3" w:tplc="2C0A000F" w:tentative="1">
      <w:start w:val="1"/>
      <w:numFmt w:val="decimal"/>
      <w:lvlText w:val="%4."/>
      <w:lvlJc w:val="left"/>
      <w:pPr>
        <w:ind w:left="2600" w:hanging="360"/>
      </w:pPr>
    </w:lvl>
    <w:lvl w:ilvl="4" w:tplc="2C0A0019" w:tentative="1">
      <w:start w:val="1"/>
      <w:numFmt w:val="lowerLetter"/>
      <w:lvlText w:val="%5."/>
      <w:lvlJc w:val="left"/>
      <w:pPr>
        <w:ind w:left="3320" w:hanging="360"/>
      </w:pPr>
    </w:lvl>
    <w:lvl w:ilvl="5" w:tplc="2C0A001B" w:tentative="1">
      <w:start w:val="1"/>
      <w:numFmt w:val="lowerRoman"/>
      <w:lvlText w:val="%6."/>
      <w:lvlJc w:val="right"/>
      <w:pPr>
        <w:ind w:left="4040" w:hanging="180"/>
      </w:pPr>
    </w:lvl>
    <w:lvl w:ilvl="6" w:tplc="2C0A000F" w:tentative="1">
      <w:start w:val="1"/>
      <w:numFmt w:val="decimal"/>
      <w:lvlText w:val="%7."/>
      <w:lvlJc w:val="left"/>
      <w:pPr>
        <w:ind w:left="4760" w:hanging="360"/>
      </w:pPr>
    </w:lvl>
    <w:lvl w:ilvl="7" w:tplc="2C0A0019" w:tentative="1">
      <w:start w:val="1"/>
      <w:numFmt w:val="lowerLetter"/>
      <w:lvlText w:val="%8."/>
      <w:lvlJc w:val="left"/>
      <w:pPr>
        <w:ind w:left="5480" w:hanging="360"/>
      </w:pPr>
    </w:lvl>
    <w:lvl w:ilvl="8" w:tplc="2C0A001B" w:tentative="1">
      <w:start w:val="1"/>
      <w:numFmt w:val="lowerRoman"/>
      <w:lvlText w:val="%9."/>
      <w:lvlJc w:val="right"/>
      <w:pPr>
        <w:ind w:left="6200" w:hanging="180"/>
      </w:pPr>
    </w:lvl>
  </w:abstractNum>
  <w:abstractNum w:abstractNumId="4">
    <w:nsid w:val="486C214F"/>
    <w:multiLevelType w:val="multilevel"/>
    <w:tmpl w:val="113A5A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873C98"/>
    <w:multiLevelType w:val="hybridMultilevel"/>
    <w:tmpl w:val="48A206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51AD2CD8"/>
    <w:multiLevelType w:val="hybridMultilevel"/>
    <w:tmpl w:val="6BC82FA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4"/>
  <w:defaultTabStop w:val="708"/>
  <w:hyphenationZone w:val="425"/>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BB2187"/>
    <w:rsid w:val="001B5A57"/>
    <w:rsid w:val="001F5886"/>
    <w:rsid w:val="00245A61"/>
    <w:rsid w:val="002F764C"/>
    <w:rsid w:val="003A09C3"/>
    <w:rsid w:val="003E6044"/>
    <w:rsid w:val="003F6EC1"/>
    <w:rsid w:val="004A093D"/>
    <w:rsid w:val="00636B89"/>
    <w:rsid w:val="006B5588"/>
    <w:rsid w:val="006E696A"/>
    <w:rsid w:val="0072061C"/>
    <w:rsid w:val="00797B10"/>
    <w:rsid w:val="007A35E4"/>
    <w:rsid w:val="0092120B"/>
    <w:rsid w:val="00934B67"/>
    <w:rsid w:val="009923CB"/>
    <w:rsid w:val="00A11ACE"/>
    <w:rsid w:val="00AC76FE"/>
    <w:rsid w:val="00AD174A"/>
    <w:rsid w:val="00B43004"/>
    <w:rsid w:val="00BB2187"/>
    <w:rsid w:val="00BE20EE"/>
    <w:rsid w:val="00D8632F"/>
    <w:rsid w:val="00DA2FEF"/>
    <w:rsid w:val="00E053A8"/>
    <w:rsid w:val="00EB5EB2"/>
    <w:rsid w:val="00EE1FA4"/>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FEF"/>
  </w:style>
  <w:style w:type="paragraph" w:styleId="Ttulo1">
    <w:name w:val="heading 1"/>
    <w:basedOn w:val="Normal"/>
    <w:next w:val="Normal"/>
    <w:link w:val="Ttulo1Car"/>
    <w:uiPriority w:val="9"/>
    <w:qFormat/>
    <w:rsid w:val="00797B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EE1F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B2187"/>
    <w:pPr>
      <w:spacing w:after="0" w:line="240" w:lineRule="auto"/>
    </w:pPr>
  </w:style>
  <w:style w:type="paragraph" w:styleId="Textodeglobo">
    <w:name w:val="Balloon Text"/>
    <w:basedOn w:val="Normal"/>
    <w:link w:val="TextodegloboCar"/>
    <w:uiPriority w:val="99"/>
    <w:semiHidden/>
    <w:unhideWhenUsed/>
    <w:rsid w:val="00BB21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2187"/>
    <w:rPr>
      <w:rFonts w:ascii="Tahoma" w:hAnsi="Tahoma" w:cs="Tahoma"/>
      <w:sz w:val="16"/>
      <w:szCs w:val="16"/>
    </w:rPr>
  </w:style>
  <w:style w:type="paragraph" w:styleId="Prrafodelista">
    <w:name w:val="List Paragraph"/>
    <w:basedOn w:val="Normal"/>
    <w:uiPriority w:val="34"/>
    <w:qFormat/>
    <w:rsid w:val="00AC76FE"/>
    <w:pPr>
      <w:ind w:left="720"/>
      <w:contextualSpacing/>
    </w:pPr>
  </w:style>
  <w:style w:type="paragraph" w:customStyle="1" w:styleId="Default">
    <w:name w:val="Default"/>
    <w:rsid w:val="00934B67"/>
    <w:pPr>
      <w:autoSpaceDE w:val="0"/>
      <w:autoSpaceDN w:val="0"/>
      <w:adjustRightInd w:val="0"/>
      <w:spacing w:after="0" w:line="240" w:lineRule="auto"/>
    </w:pPr>
    <w:rPr>
      <w:rFonts w:ascii="Verdana" w:hAnsi="Verdana" w:cs="Verdana"/>
      <w:color w:val="000000"/>
      <w:sz w:val="24"/>
      <w:szCs w:val="24"/>
    </w:rPr>
  </w:style>
  <w:style w:type="character" w:customStyle="1" w:styleId="Ttulo1Car">
    <w:name w:val="Título 1 Car"/>
    <w:basedOn w:val="Fuentedeprrafopredeter"/>
    <w:link w:val="Ttulo1"/>
    <w:uiPriority w:val="9"/>
    <w:rsid w:val="00797B1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EE1FA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EE1FA4"/>
    <w:pPr>
      <w:spacing w:before="100" w:beforeAutospacing="1" w:after="100" w:afterAutospacing="1" w:line="240" w:lineRule="auto"/>
      <w:ind w:left="80"/>
    </w:pPr>
    <w:rPr>
      <w:rFonts w:ascii="Verdana" w:eastAsia="Times New Roman" w:hAnsi="Verdana" w:cs="Times New Roman"/>
      <w:sz w:val="20"/>
      <w:szCs w:val="20"/>
      <w:lang w:eastAsia="es-AR"/>
    </w:rPr>
  </w:style>
  <w:style w:type="character" w:styleId="Hipervnculo">
    <w:name w:val="Hyperlink"/>
    <w:basedOn w:val="Fuentedeprrafopredeter"/>
    <w:uiPriority w:val="99"/>
    <w:unhideWhenUsed/>
    <w:rsid w:val="00636B89"/>
    <w:rPr>
      <w:color w:val="0000FF"/>
      <w:u w:val="single"/>
    </w:rPr>
  </w:style>
  <w:style w:type="paragraph" w:styleId="Encabezado">
    <w:name w:val="header"/>
    <w:basedOn w:val="Normal"/>
    <w:link w:val="EncabezadoCar"/>
    <w:uiPriority w:val="99"/>
    <w:semiHidden/>
    <w:unhideWhenUsed/>
    <w:rsid w:val="003E60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E6044"/>
  </w:style>
  <w:style w:type="paragraph" w:styleId="Piedepgina">
    <w:name w:val="footer"/>
    <w:basedOn w:val="Normal"/>
    <w:link w:val="PiedepginaCar"/>
    <w:uiPriority w:val="99"/>
    <w:unhideWhenUsed/>
    <w:rsid w:val="003E60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60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97B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EE1F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B2187"/>
    <w:pPr>
      <w:spacing w:after="0" w:line="240" w:lineRule="auto"/>
    </w:pPr>
  </w:style>
  <w:style w:type="paragraph" w:styleId="Textodeglobo">
    <w:name w:val="Balloon Text"/>
    <w:basedOn w:val="Normal"/>
    <w:link w:val="TextodegloboCar"/>
    <w:uiPriority w:val="99"/>
    <w:semiHidden/>
    <w:unhideWhenUsed/>
    <w:rsid w:val="00BB21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2187"/>
    <w:rPr>
      <w:rFonts w:ascii="Tahoma" w:hAnsi="Tahoma" w:cs="Tahoma"/>
      <w:sz w:val="16"/>
      <w:szCs w:val="16"/>
    </w:rPr>
  </w:style>
  <w:style w:type="paragraph" w:styleId="Prrafodelista">
    <w:name w:val="List Paragraph"/>
    <w:basedOn w:val="Normal"/>
    <w:uiPriority w:val="34"/>
    <w:qFormat/>
    <w:rsid w:val="00AC76FE"/>
    <w:pPr>
      <w:ind w:left="720"/>
      <w:contextualSpacing/>
    </w:pPr>
  </w:style>
  <w:style w:type="paragraph" w:customStyle="1" w:styleId="Default">
    <w:name w:val="Default"/>
    <w:rsid w:val="00934B67"/>
    <w:pPr>
      <w:autoSpaceDE w:val="0"/>
      <w:autoSpaceDN w:val="0"/>
      <w:adjustRightInd w:val="0"/>
      <w:spacing w:after="0" w:line="240" w:lineRule="auto"/>
    </w:pPr>
    <w:rPr>
      <w:rFonts w:ascii="Verdana" w:hAnsi="Verdana" w:cs="Verdana"/>
      <w:color w:val="000000"/>
      <w:sz w:val="24"/>
      <w:szCs w:val="24"/>
    </w:rPr>
  </w:style>
  <w:style w:type="character" w:customStyle="1" w:styleId="Ttulo1Car">
    <w:name w:val="Título 1 Car"/>
    <w:basedOn w:val="Fuentedeprrafopredeter"/>
    <w:link w:val="Ttulo1"/>
    <w:uiPriority w:val="9"/>
    <w:rsid w:val="00797B1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EE1FA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EE1FA4"/>
    <w:pPr>
      <w:spacing w:before="100" w:beforeAutospacing="1" w:after="100" w:afterAutospacing="1" w:line="240" w:lineRule="auto"/>
      <w:ind w:left="80"/>
    </w:pPr>
    <w:rPr>
      <w:rFonts w:ascii="Verdana" w:eastAsia="Times New Roman" w:hAnsi="Verdana" w:cs="Times New Roman"/>
      <w:sz w:val="20"/>
      <w:szCs w:val="20"/>
      <w:lang w:eastAsia="es-AR"/>
    </w:rPr>
  </w:style>
  <w:style w:type="character" w:styleId="Hipervnculo">
    <w:name w:val="Hyperlink"/>
    <w:basedOn w:val="Fuentedeprrafopredeter"/>
    <w:uiPriority w:val="99"/>
    <w:semiHidden/>
    <w:unhideWhenUsed/>
    <w:rsid w:val="00636B89"/>
    <w:rPr>
      <w:color w:val="0000FF"/>
      <w:u w:val="single"/>
    </w:rPr>
  </w:style>
</w:styles>
</file>

<file path=word/webSettings.xml><?xml version="1.0" encoding="utf-8"?>
<w:webSettings xmlns:r="http://schemas.openxmlformats.org/officeDocument/2006/relationships" xmlns:w="http://schemas.openxmlformats.org/wordprocessingml/2006/main">
  <w:divs>
    <w:div w:id="37705115">
      <w:bodyDiv w:val="1"/>
      <w:marLeft w:val="0"/>
      <w:marRight w:val="0"/>
      <w:marTop w:val="0"/>
      <w:marBottom w:val="0"/>
      <w:divBdr>
        <w:top w:val="none" w:sz="0" w:space="0" w:color="auto"/>
        <w:left w:val="none" w:sz="0" w:space="0" w:color="auto"/>
        <w:bottom w:val="none" w:sz="0" w:space="0" w:color="auto"/>
        <w:right w:val="none" w:sz="0" w:space="0" w:color="auto"/>
      </w:divBdr>
    </w:div>
    <w:div w:id="226958012">
      <w:bodyDiv w:val="1"/>
      <w:marLeft w:val="0"/>
      <w:marRight w:val="0"/>
      <w:marTop w:val="0"/>
      <w:marBottom w:val="0"/>
      <w:divBdr>
        <w:top w:val="none" w:sz="0" w:space="0" w:color="auto"/>
        <w:left w:val="none" w:sz="0" w:space="0" w:color="auto"/>
        <w:bottom w:val="none" w:sz="0" w:space="0" w:color="auto"/>
        <w:right w:val="none" w:sz="0" w:space="0" w:color="auto"/>
      </w:divBdr>
    </w:div>
    <w:div w:id="497229233">
      <w:bodyDiv w:val="1"/>
      <w:marLeft w:val="0"/>
      <w:marRight w:val="0"/>
      <w:marTop w:val="0"/>
      <w:marBottom w:val="0"/>
      <w:divBdr>
        <w:top w:val="none" w:sz="0" w:space="0" w:color="auto"/>
        <w:left w:val="none" w:sz="0" w:space="0" w:color="auto"/>
        <w:bottom w:val="none" w:sz="0" w:space="0" w:color="auto"/>
        <w:right w:val="none" w:sz="0" w:space="0" w:color="auto"/>
      </w:divBdr>
      <w:divsChild>
        <w:div w:id="183136532">
          <w:marLeft w:val="0"/>
          <w:marRight w:val="0"/>
          <w:marTop w:val="0"/>
          <w:marBottom w:val="97"/>
          <w:divBdr>
            <w:top w:val="single" w:sz="4" w:space="0" w:color="BBBBBB"/>
            <w:left w:val="single" w:sz="4" w:space="0" w:color="BBBBBB"/>
            <w:bottom w:val="single" w:sz="4" w:space="0" w:color="BBBBBB"/>
            <w:right w:val="single" w:sz="4" w:space="0" w:color="BBBBBB"/>
          </w:divBdr>
        </w:div>
        <w:div w:id="804129400">
          <w:marLeft w:val="0"/>
          <w:marRight w:val="0"/>
          <w:marTop w:val="0"/>
          <w:marBottom w:val="97"/>
          <w:divBdr>
            <w:top w:val="single" w:sz="4" w:space="0" w:color="BBBBBB"/>
            <w:left w:val="single" w:sz="4" w:space="0" w:color="BBBBBB"/>
            <w:bottom w:val="single" w:sz="4" w:space="0" w:color="BBBBBB"/>
            <w:right w:val="single" w:sz="4" w:space="0" w:color="BBBBBB"/>
          </w:divBdr>
        </w:div>
      </w:divsChild>
    </w:div>
    <w:div w:id="797187294">
      <w:bodyDiv w:val="1"/>
      <w:marLeft w:val="0"/>
      <w:marRight w:val="0"/>
      <w:marTop w:val="0"/>
      <w:marBottom w:val="0"/>
      <w:divBdr>
        <w:top w:val="none" w:sz="0" w:space="0" w:color="auto"/>
        <w:left w:val="none" w:sz="0" w:space="0" w:color="auto"/>
        <w:bottom w:val="none" w:sz="0" w:space="0" w:color="auto"/>
        <w:right w:val="none" w:sz="0" w:space="0" w:color="auto"/>
      </w:divBdr>
      <w:divsChild>
        <w:div w:id="871694812">
          <w:marLeft w:val="0"/>
          <w:marRight w:val="0"/>
          <w:marTop w:val="0"/>
          <w:marBottom w:val="97"/>
          <w:divBdr>
            <w:top w:val="single" w:sz="4" w:space="0" w:color="BBBBBB"/>
            <w:left w:val="single" w:sz="4" w:space="0" w:color="BBBBBB"/>
            <w:bottom w:val="single" w:sz="4" w:space="0" w:color="BBBBBB"/>
            <w:right w:val="single" w:sz="4" w:space="0" w:color="BBBBBB"/>
          </w:divBdr>
        </w:div>
        <w:div w:id="1770466802">
          <w:marLeft w:val="0"/>
          <w:marRight w:val="0"/>
          <w:marTop w:val="0"/>
          <w:marBottom w:val="97"/>
          <w:divBdr>
            <w:top w:val="single" w:sz="4" w:space="0" w:color="BBBBBB"/>
            <w:left w:val="single" w:sz="4" w:space="0" w:color="BBBBBB"/>
            <w:bottom w:val="single" w:sz="4" w:space="0" w:color="BBBBBB"/>
            <w:right w:val="single" w:sz="4" w:space="0" w:color="BBBBBB"/>
          </w:divBdr>
        </w:div>
      </w:divsChild>
    </w:div>
    <w:div w:id="1509910350">
      <w:bodyDiv w:val="1"/>
      <w:marLeft w:val="0"/>
      <w:marRight w:val="0"/>
      <w:marTop w:val="0"/>
      <w:marBottom w:val="0"/>
      <w:divBdr>
        <w:top w:val="none" w:sz="0" w:space="0" w:color="auto"/>
        <w:left w:val="none" w:sz="0" w:space="0" w:color="auto"/>
        <w:bottom w:val="none" w:sz="0" w:space="0" w:color="auto"/>
        <w:right w:val="none" w:sz="0" w:space="0" w:color="auto"/>
      </w:divBdr>
      <w:divsChild>
        <w:div w:id="860776546">
          <w:marLeft w:val="0"/>
          <w:marRight w:val="0"/>
          <w:marTop w:val="0"/>
          <w:marBottom w:val="97"/>
          <w:divBdr>
            <w:top w:val="single" w:sz="4" w:space="0" w:color="BBBBBB"/>
            <w:left w:val="single" w:sz="4" w:space="0" w:color="BBBBBB"/>
            <w:bottom w:val="single" w:sz="4" w:space="0" w:color="BBBBBB"/>
            <w:right w:val="single" w:sz="4" w:space="0" w:color="BBBBBB"/>
          </w:divBdr>
        </w:div>
        <w:div w:id="681780516">
          <w:marLeft w:val="0"/>
          <w:marRight w:val="0"/>
          <w:marTop w:val="0"/>
          <w:marBottom w:val="97"/>
          <w:divBdr>
            <w:top w:val="single" w:sz="4" w:space="0" w:color="BBBBBB"/>
            <w:left w:val="single" w:sz="4" w:space="0" w:color="BBBBBB"/>
            <w:bottom w:val="single" w:sz="4" w:space="0" w:color="BBBBBB"/>
            <w:right w:val="single" w:sz="4" w:space="0" w:color="BBBBBB"/>
          </w:divBdr>
        </w:div>
      </w:divsChild>
    </w:div>
    <w:div w:id="1866164863">
      <w:bodyDiv w:val="1"/>
      <w:marLeft w:val="0"/>
      <w:marRight w:val="0"/>
      <w:marTop w:val="0"/>
      <w:marBottom w:val="0"/>
      <w:divBdr>
        <w:top w:val="none" w:sz="0" w:space="0" w:color="auto"/>
        <w:left w:val="none" w:sz="0" w:space="0" w:color="auto"/>
        <w:bottom w:val="none" w:sz="0" w:space="0" w:color="auto"/>
        <w:right w:val="none" w:sz="0" w:space="0" w:color="auto"/>
      </w:divBdr>
      <w:divsChild>
        <w:div w:id="1583762224">
          <w:marLeft w:val="0"/>
          <w:marRight w:val="0"/>
          <w:marTop w:val="0"/>
          <w:marBottom w:val="97"/>
          <w:divBdr>
            <w:top w:val="single" w:sz="4" w:space="0" w:color="BBBBBB"/>
            <w:left w:val="single" w:sz="4" w:space="0" w:color="BBBBBB"/>
            <w:bottom w:val="single" w:sz="4" w:space="0" w:color="BBBBBB"/>
            <w:right w:val="single" w:sz="4" w:space="0" w:color="BBBBBB"/>
          </w:divBdr>
        </w:div>
        <w:div w:id="277883049">
          <w:marLeft w:val="0"/>
          <w:marRight w:val="0"/>
          <w:marTop w:val="0"/>
          <w:marBottom w:val="97"/>
          <w:divBdr>
            <w:top w:val="single" w:sz="4" w:space="0" w:color="BBBBBB"/>
            <w:left w:val="single" w:sz="4" w:space="0" w:color="BBBBBB"/>
            <w:bottom w:val="single" w:sz="4" w:space="0" w:color="BBBBBB"/>
            <w:right w:val="single" w:sz="4" w:space="0" w:color="BBBBB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s.wikipedia.org/wiki/Windows_Server_2008_R2"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1519</Words>
  <Characters>8359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Neoris</Company>
  <LinksUpToDate>false</LinksUpToDate>
  <CharactersWithSpaces>9859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Daiana Castellano</dc:creator>
  <cp:lastModifiedBy>Neoris</cp:lastModifiedBy>
  <cp:revision>6</cp:revision>
  <dcterms:created xsi:type="dcterms:W3CDTF">2012-11-06T21:31:00Z</dcterms:created>
  <dcterms:modified xsi:type="dcterms:W3CDTF">2012-11-06T21:35:00Z</dcterms:modified>
</cp:coreProperties>
</file>