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POLÍTICA DE CANCELAMENTO E REEMBOLSO</w:t>
      </w:r>
    </w:p>
    <w:p>
      <w:pPr>
        <w:jc w:val="center"/>
      </w:pPr>
      <w:r>
        <w:t>Versão: 15/02/2026</w:t>
      </w:r>
    </w:p>
    <w:p/>
    <w:p>
      <w:r>
        <w:t>Este documento é um MODELO. Deve ser revisado por advogado antes do uso em produção.</w:t>
      </w:r>
    </w:p>
    <w:p/>
    <w:p>
      <w:r>
        <w:t>Aplica-se ao aplicativo/plataforma {{NOME_DO_APP}} operado por {{NOME_DA_EMPRESA}}.</w:t>
      </w:r>
    </w:p>
    <w:p/>
    <w:p>
      <w:pPr>
        <w:pStyle w:val="Heading1"/>
      </w:pPr>
      <w:r>
        <w:t>1. Visão geral</w:t>
      </w:r>
    </w:p>
    <w:p>
      <w:r>
        <w:t>Por se tratar de alimentos perecíveis, existem regras específicas para cancelamento e reembolso. O objetivo é equilibrar segurança alimentar, logística e direitos do consumidor.</w:t>
      </w:r>
    </w:p>
    <w:p>
      <w:pPr>
        <w:pStyle w:val="Heading1"/>
      </w:pPr>
      <w:r>
        <w:t>2. Cancelamento de itens frescos</w:t>
      </w:r>
    </w:p>
    <w:p>
      <w:r>
        <w:t>Itens marcados como “Fresco” não permitem cancelamento após pagamento, salvo:</w:t>
      </w:r>
    </w:p>
    <w:p>
      <w:r>
        <w:t>a) indisponibilidade do produto confirmada pelo fornecedor;</w:t>
      </w:r>
    </w:p>
    <w:p>
      <w:r>
        <w:t>b) falha operacional de entrega imputável ao fornecedor;</w:t>
      </w:r>
    </w:p>
    <w:p>
      <w:r>
        <w:t>c) determinação legal ou acordo excepcional.</w:t>
      </w:r>
    </w:p>
    <w:p>
      <w:r>
        <w:t>Em caso de problema no recebimento, o comprador deve entrar em contato imediatamente com o suporte e enviar evidências (foto/nota).</w:t>
      </w:r>
    </w:p>
    <w:p>
      <w:pPr>
        <w:pStyle w:val="Heading1"/>
      </w:pPr>
      <w:r>
        <w:t>3. Cancelamento de itens congelados</w:t>
      </w:r>
    </w:p>
    <w:p>
      <w:r>
        <w:t>Pedidos exclusivamente de itens congelados podem ser cancelados até **6 (seis) horas antes** do cut-off do fornecedor na véspera da entrega.</w:t>
      </w:r>
    </w:p>
    <w:p>
      <w:r>
        <w:t>Após esse prazo, o cancelamento pode não ser possível devido à separação/logística.</w:t>
      </w:r>
    </w:p>
    <w:p>
      <w:pPr>
        <w:pStyle w:val="Heading1"/>
      </w:pPr>
      <w:r>
        <w:t>4. Como solicitar</w:t>
      </w:r>
    </w:p>
    <w:p>
      <w:r>
        <w:t>O comprador pode solicitar cancelamento pelo app (quando disponível) ou pelo suporte: {{EMAIL_SUPORTE}} / {{WHATSAPP_SUPORTE}}.</w:t>
      </w:r>
    </w:p>
    <w:p>
      <w:r>
        <w:t>O Marketplace poderá solicitar dados adicionais para confirmar a solicitação.</w:t>
      </w:r>
    </w:p>
    <w:p>
      <w:pPr>
        <w:pStyle w:val="Heading1"/>
      </w:pPr>
      <w:r>
        <w:t>5. Reembolso</w:t>
      </w:r>
    </w:p>
    <w:p>
      <w:r>
        <w:t>Quando aplicável, o reembolso será solicitado ao provedor de pagamento e realizado preferencialmente no mesmo meio de pagamento.</w:t>
      </w:r>
    </w:p>
    <w:p>
      <w:r>
        <w:t>Prazos de estorno variam conforme bandeira, banco e meio de pagamento. O Marketplace não controla o prazo final do emissor, mas fornecerá comprovante da solicitação quando possível.</w:t>
      </w:r>
    </w:p>
    <w:p>
      <w:pPr>
        <w:pStyle w:val="Heading1"/>
      </w:pPr>
      <w:r>
        <w:t>6. Chargebacks e disputas</w:t>
      </w:r>
    </w:p>
    <w:p>
      <w:r>
        <w:t>Em pagamentos por cartão, o titular pode abrir disputa/chargeback junto ao emissor. O Marketplace e/ou fornecedor poderá apresentar evidências. Se a disputa for perdida, valores poderão ser debitados conforme regras do provedor e contratos com fornecedores.</w:t>
      </w:r>
    </w:p>
    <w:p>
      <w:pPr>
        <w:pStyle w:val="Heading1"/>
      </w:pPr>
      <w:r>
        <w:t>7. Contato</w:t>
      </w:r>
    </w:p>
    <w:p>
      <w:r>
        <w:t>Dúvidas: {{EMAIL_SUPORTE}}.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