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POLÍTICA DE FRESCOS, CONGELADOS E VALIDADE</w:t>
      </w:r>
    </w:p>
    <w:p>
      <w:pPr>
        <w:jc w:val="center"/>
      </w:pPr>
      <w:r>
        <w:t>Versão: 15/02/2026</w:t>
      </w:r>
    </w:p>
    <w:p/>
    <w:p>
      <w:r>
        <w:t>Este documento é um MODELO. Deve ser revisado por advogado/qualidade antes do uso em produção.</w:t>
      </w:r>
    </w:p>
    <w:p/>
    <w:p>
      <w:pPr>
        <w:pStyle w:val="Heading1"/>
      </w:pPr>
      <w:r>
        <w:t>1. Classificação de produtos</w:t>
      </w:r>
    </w:p>
    <w:p>
      <w:r>
        <w:t>Produtos são classificados como:</w:t>
      </w:r>
    </w:p>
    <w:p>
      <w:r>
        <w:t>• Frescos: requerem manuseio e entrega rápida; possuem restrições de cancelamento.</w:t>
      </w:r>
    </w:p>
    <w:p>
      <w:r>
        <w:t>• Congelados: possuem cadeia fria distinta e regras de armazenamento específicas.</w:t>
      </w:r>
    </w:p>
    <w:p>
      <w:pPr>
        <w:pStyle w:val="Heading1"/>
      </w:pPr>
      <w:r>
        <w:t>2. Validade mínima</w:t>
      </w:r>
    </w:p>
    <w:p>
      <w:r>
        <w:t>O fornecedor deve informar uma validade mínima por lote (ou por variante), quando aplicável.</w:t>
      </w:r>
    </w:p>
    <w:p>
      <w:r>
        <w:t>O comprador deve receber produto dentro da validade e em condições adequadas.</w:t>
      </w:r>
    </w:p>
    <w:p>
      <w:pPr>
        <w:pStyle w:val="Heading1"/>
      </w:pPr>
      <w:r>
        <w:t>3. Conferência no recebimento</w:t>
      </w:r>
    </w:p>
    <w:p>
      <w:r>
        <w:t>O comprador deve conferir embalagem, temperatura, integridade e prazo no ato. Caso identifique irregularidade, deve registrar imediatamente e contatar suporte.</w:t>
      </w:r>
    </w:p>
    <w:p>
      <w:pPr>
        <w:pStyle w:val="Heading1"/>
      </w:pPr>
      <w:r>
        <w:t>4. Armazenamento</w:t>
      </w:r>
    </w:p>
    <w:p>
      <w:r>
        <w:t>Após o recebimento, o comprador deve armazenar conforme orientações do fabricante/fornecedor. A responsabilidade por armazenamento inadequado após a entrega é do comprador.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