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2799C" w14:textId="77777777" w:rsidR="002F682D" w:rsidRPr="007A157A" w:rsidRDefault="002676BE" w:rsidP="007A157A">
      <w:pPr>
        <w:rPr>
          <w:color w:val="000000"/>
        </w:rPr>
      </w:pPr>
      <w:r>
        <w:rPr>
          <w:color w:val="000000"/>
        </w:rPr>
        <w:t>Whole-Genome Bisulfite Sequencing (</w:t>
      </w:r>
      <w:r w:rsidR="002F682D" w:rsidRPr="007A157A">
        <w:rPr>
          <w:color w:val="000000"/>
        </w:rPr>
        <w:t>WGBS</w:t>
      </w:r>
      <w:r>
        <w:rPr>
          <w:color w:val="000000"/>
        </w:rPr>
        <w:t>)</w:t>
      </w:r>
      <w:r w:rsidR="002F682D" w:rsidRPr="007A157A">
        <w:rPr>
          <w:color w:val="000000"/>
        </w:rPr>
        <w:t xml:space="preserve"> raw </w:t>
      </w:r>
      <w:r>
        <w:rPr>
          <w:color w:val="000000"/>
        </w:rPr>
        <w:t>data (reads)</w:t>
      </w:r>
      <w:r w:rsidR="002F682D" w:rsidRPr="007A157A">
        <w:rPr>
          <w:color w:val="000000"/>
        </w:rPr>
        <w:t xml:space="preserve"> were </w:t>
      </w:r>
      <w:r w:rsidR="007A157A" w:rsidRPr="007A157A">
        <w:rPr>
          <w:color w:val="000000"/>
        </w:rPr>
        <w:t>submitted to</w:t>
      </w:r>
      <w:r w:rsidR="002F682D" w:rsidRPr="007A157A">
        <w:rPr>
          <w:color w:val="000000"/>
        </w:rPr>
        <w:t xml:space="preserve"> </w:t>
      </w:r>
      <w:proofErr w:type="spellStart"/>
      <w:proofErr w:type="gramStart"/>
      <w:r w:rsidR="007A157A" w:rsidRPr="007A157A">
        <w:rPr>
          <w:color w:val="000000"/>
        </w:rPr>
        <w:t>B</w:t>
      </w:r>
      <w:r w:rsidR="007F0E9B" w:rsidRPr="007A157A">
        <w:rPr>
          <w:color w:val="000000"/>
        </w:rPr>
        <w:t>ismark</w:t>
      </w:r>
      <w:proofErr w:type="spellEnd"/>
      <w:r w:rsidR="007A157A" w:rsidRPr="007A157A">
        <w:rPr>
          <w:color w:val="000000"/>
        </w:rPr>
        <w:t>(</w:t>
      </w:r>
      <w:proofErr w:type="gramEnd"/>
      <w:r w:rsidR="007A157A" w:rsidRPr="007A157A">
        <w:rPr>
          <w:color w:val="000000"/>
        </w:rPr>
        <w:t>version 0.22.3)</w:t>
      </w:r>
      <w:r w:rsidRPr="002676BE">
        <w:rPr>
          <w:color w:val="000000"/>
          <w:vertAlign w:val="superscript"/>
        </w:rPr>
        <w:t>1</w:t>
      </w:r>
      <w:r w:rsidR="007A157A" w:rsidRPr="007A157A">
        <w:rPr>
          <w:color w:val="000000"/>
        </w:rPr>
        <w:t xml:space="preserve"> for mapping and methylation calling, </w:t>
      </w:r>
      <w:r w:rsidR="002F682D" w:rsidRPr="007A157A">
        <w:rPr>
          <w:color w:val="000000"/>
        </w:rPr>
        <w:t xml:space="preserve">against </w:t>
      </w:r>
      <w:r w:rsidR="007F0E9B" w:rsidRPr="007A157A">
        <w:rPr>
          <w:color w:val="000000"/>
        </w:rPr>
        <w:t xml:space="preserve">mouse </w:t>
      </w:r>
      <w:r w:rsidR="002F682D" w:rsidRPr="007A157A">
        <w:rPr>
          <w:color w:val="000000"/>
        </w:rPr>
        <w:t xml:space="preserve">genome version </w:t>
      </w:r>
      <w:r w:rsidR="007F0E9B" w:rsidRPr="007A157A">
        <w:rPr>
          <w:color w:val="000000"/>
        </w:rPr>
        <w:t>mm10</w:t>
      </w:r>
      <w:r w:rsidR="002F682D" w:rsidRPr="007A157A">
        <w:rPr>
          <w:color w:val="000000"/>
        </w:rPr>
        <w:t>/GRC</w:t>
      </w:r>
      <w:r w:rsidR="007F0E9B" w:rsidRPr="007A157A">
        <w:rPr>
          <w:color w:val="000000"/>
        </w:rPr>
        <w:t>m</w:t>
      </w:r>
      <w:r w:rsidR="002F682D" w:rsidRPr="007A157A">
        <w:rPr>
          <w:color w:val="000000"/>
        </w:rPr>
        <w:t>3</w:t>
      </w:r>
      <w:r w:rsidR="007F0E9B" w:rsidRPr="007A157A">
        <w:rPr>
          <w:color w:val="000000"/>
        </w:rPr>
        <w:t>8</w:t>
      </w:r>
      <w:r w:rsidR="002F682D" w:rsidRPr="007A157A">
        <w:rPr>
          <w:color w:val="000000"/>
        </w:rPr>
        <w:t xml:space="preserve">, discarding duplicate reads. </w:t>
      </w:r>
      <w:r w:rsidR="002F682D" w:rsidRPr="00A00BDD">
        <w:rPr>
          <w:color w:val="000000"/>
          <w:highlight w:val="yellow"/>
        </w:rPr>
        <w:t>Briefly, the methylation level at a CpG site was the number of reads with that site methylated divided by the total number of reads covering the site.</w:t>
      </w:r>
    </w:p>
    <w:p w14:paraId="03204B3D" w14:textId="77777777" w:rsidR="007A157A" w:rsidRDefault="002F682D" w:rsidP="002F682D">
      <w:pPr>
        <w:pStyle w:val="NormalWeb"/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 xml:space="preserve">To ensure comparability of region DNA methylation levels across all samples, </w:t>
      </w:r>
      <w:r w:rsidRPr="00A00BDD">
        <w:rPr>
          <w:color w:val="000000"/>
          <w:highlight w:val="yellow"/>
        </w:rPr>
        <w:t xml:space="preserve">only </w:t>
      </w:r>
      <w:proofErr w:type="spellStart"/>
      <w:r w:rsidRPr="00A00BDD">
        <w:rPr>
          <w:color w:val="000000"/>
          <w:highlight w:val="yellow"/>
        </w:rPr>
        <w:t>CpGs</w:t>
      </w:r>
      <w:proofErr w:type="spellEnd"/>
      <w:r w:rsidRPr="00A00BDD">
        <w:rPr>
          <w:color w:val="000000"/>
          <w:highlight w:val="yellow"/>
        </w:rPr>
        <w:t xml:space="preserve"> covered by ≥ 5x in all samples</w:t>
      </w:r>
      <w:r>
        <w:rPr>
          <w:color w:val="000000"/>
        </w:rPr>
        <w:t xml:space="preserve"> </w:t>
      </w:r>
      <w:r w:rsidR="007F0E9B">
        <w:rPr>
          <w:color w:val="000000"/>
        </w:rPr>
        <w:t>were retained</w:t>
      </w:r>
      <w:r>
        <w:rPr>
          <w:color w:val="000000"/>
        </w:rPr>
        <w:t xml:space="preserve"> for the computation of DNA methylation levels.</w:t>
      </w:r>
    </w:p>
    <w:p w14:paraId="08F3166A" w14:textId="77777777" w:rsidR="007A157A" w:rsidRDefault="002F682D" w:rsidP="002F682D">
      <w:pPr>
        <w:pStyle w:val="NormalWeb"/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 xml:space="preserve">We defined </w:t>
      </w:r>
      <w:r w:rsidRPr="002C0802">
        <w:rPr>
          <w:color w:val="000000"/>
          <w:highlight w:val="yellow"/>
        </w:rPr>
        <w:t xml:space="preserve">the average methylation for a genomic region as the coverage-weighted mean of the methylation levels of the individual </w:t>
      </w:r>
      <w:proofErr w:type="spellStart"/>
      <w:r w:rsidRPr="002C0802">
        <w:rPr>
          <w:color w:val="000000"/>
          <w:highlight w:val="yellow"/>
        </w:rPr>
        <w:t>CpGs</w:t>
      </w:r>
      <w:proofErr w:type="spellEnd"/>
      <w:r w:rsidRPr="002C0802">
        <w:rPr>
          <w:color w:val="000000"/>
          <w:highlight w:val="yellow"/>
        </w:rPr>
        <w:t xml:space="preserve"> within the regio</w:t>
      </w:r>
      <w:r>
        <w:rPr>
          <w:color w:val="000000"/>
        </w:rPr>
        <w:t xml:space="preserve">n. Subsequently, we averaged a region’s DNA methylation level over </w:t>
      </w:r>
      <w:r w:rsidR="002E2FB5">
        <w:rPr>
          <w:color w:val="000000"/>
        </w:rPr>
        <w:t>condition sample</w:t>
      </w:r>
      <w:r>
        <w:rPr>
          <w:color w:val="000000"/>
        </w:rPr>
        <w:t xml:space="preserve">s. </w:t>
      </w:r>
    </w:p>
    <w:p w14:paraId="70AF9D46" w14:textId="77777777" w:rsidR="007F0E9B" w:rsidRDefault="002F682D" w:rsidP="002F682D">
      <w:pPr>
        <w:pStyle w:val="NormalWeb"/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Differentially methylated regions</w:t>
      </w:r>
      <w:r w:rsidR="007F0E9B">
        <w:rPr>
          <w:color w:val="000000"/>
        </w:rPr>
        <w:t xml:space="preserve"> (DMRs)</w:t>
      </w:r>
      <w:r>
        <w:rPr>
          <w:color w:val="000000"/>
        </w:rPr>
        <w:t xml:space="preserve"> were identified by using </w:t>
      </w:r>
      <w:r w:rsidR="0056493A">
        <w:rPr>
          <w:color w:val="000000"/>
        </w:rPr>
        <w:t>an inhouse custom approach (unpublished)</w:t>
      </w:r>
      <w:r w:rsidR="007F0E9B">
        <w:rPr>
          <w:color w:val="000000"/>
        </w:rPr>
        <w:t>,</w:t>
      </w:r>
      <w:r w:rsidR="0056493A">
        <w:rPr>
          <w:color w:val="000000"/>
        </w:rPr>
        <w:t xml:space="preserve"> built around </w:t>
      </w:r>
      <w:r>
        <w:rPr>
          <w:color w:val="000000"/>
        </w:rPr>
        <w:t>a two approach methodology</w:t>
      </w:r>
      <w:r w:rsidR="0056493A">
        <w:rPr>
          <w:color w:val="000000"/>
        </w:rPr>
        <w:t xml:space="preserve">, that </w:t>
      </w:r>
      <w:r>
        <w:rPr>
          <w:color w:val="000000"/>
        </w:rPr>
        <w:t>combin</w:t>
      </w:r>
      <w:r w:rsidR="0056493A">
        <w:rPr>
          <w:color w:val="000000"/>
        </w:rPr>
        <w:t>es</w:t>
      </w:r>
      <w:r>
        <w:rPr>
          <w:color w:val="000000"/>
        </w:rPr>
        <w:t xml:space="preserve"> a dynamic fragment strategy to define a </w:t>
      </w:r>
      <w:r w:rsidR="0056493A">
        <w:rPr>
          <w:color w:val="000000"/>
        </w:rPr>
        <w:t xml:space="preserve">methylated </w:t>
      </w:r>
      <w:r>
        <w:rPr>
          <w:color w:val="000000"/>
        </w:rPr>
        <w:t>region (setting maximal distance between 2 adjacent common cytosines to 100bp and maximal fragment size to 1000bp</w:t>
      </w:r>
      <w:r w:rsidR="0056493A">
        <w:rPr>
          <w:color w:val="000000"/>
        </w:rPr>
        <w:t xml:space="preserve"> with minimal CpG number of 10 in one fragment)</w:t>
      </w:r>
      <w:r>
        <w:rPr>
          <w:color w:val="000000"/>
        </w:rPr>
        <w:t xml:space="preserve"> and a two </w:t>
      </w:r>
      <w:r w:rsidR="007F0E9B">
        <w:rPr>
          <w:color w:val="000000"/>
        </w:rPr>
        <w:t>region</w:t>
      </w:r>
      <w:r>
        <w:rPr>
          <w:color w:val="000000"/>
        </w:rPr>
        <w:t xml:space="preserve"> weighted t-test </w:t>
      </w:r>
      <w:r w:rsidR="0056493A">
        <w:rPr>
          <w:color w:val="000000"/>
        </w:rPr>
        <w:t>on</w:t>
      </w:r>
      <w:r>
        <w:rPr>
          <w:color w:val="000000"/>
        </w:rPr>
        <w:t xml:space="preserve"> the </w:t>
      </w:r>
      <w:r w:rsidR="0056493A">
        <w:rPr>
          <w:color w:val="000000"/>
        </w:rPr>
        <w:t xml:space="preserve">difference of the average </w:t>
      </w:r>
      <w:r>
        <w:rPr>
          <w:color w:val="000000"/>
        </w:rPr>
        <w:t xml:space="preserve">methylation values of each </w:t>
      </w:r>
      <w:r w:rsidR="0056493A">
        <w:rPr>
          <w:color w:val="000000"/>
        </w:rPr>
        <w:t>methylated region</w:t>
      </w:r>
      <w:r>
        <w:rPr>
          <w:color w:val="000000"/>
        </w:rPr>
        <w:t xml:space="preserve"> </w:t>
      </w:r>
      <w:r w:rsidR="0056493A">
        <w:rPr>
          <w:color w:val="000000"/>
        </w:rPr>
        <w:t xml:space="preserve">(p&lt;0.01  &amp; </w:t>
      </w:r>
      <w:r w:rsidR="007F0E9B">
        <w:rPr>
          <w:color w:val="000000"/>
        </w:rPr>
        <w:sym w:font="Symbol" w:char="F044"/>
      </w:r>
      <w:proofErr w:type="spellStart"/>
      <w:r w:rsidR="007F0E9B">
        <w:rPr>
          <w:color w:val="000000"/>
        </w:rPr>
        <w:t>mR</w:t>
      </w:r>
      <w:proofErr w:type="spellEnd"/>
      <w:r w:rsidR="007F0E9B">
        <w:rPr>
          <w:color w:val="000000"/>
        </w:rPr>
        <w:t xml:space="preserve"> &gt; 0.1  - thresholds to select DMRs</w:t>
      </w:r>
      <w:r>
        <w:rPr>
          <w:color w:val="000000"/>
        </w:rPr>
        <w:t xml:space="preserve">). </w:t>
      </w:r>
    </w:p>
    <w:p w14:paraId="1C31832E" w14:textId="77777777" w:rsidR="002F682D" w:rsidRDefault="002F682D" w:rsidP="002F682D">
      <w:pPr>
        <w:pStyle w:val="NormalWeb"/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We de</w:t>
      </w:r>
      <w:r w:rsidR="002676BE">
        <w:rPr>
          <w:color w:val="000000"/>
        </w:rPr>
        <w:t>riv</w:t>
      </w:r>
      <w:r>
        <w:rPr>
          <w:color w:val="000000"/>
        </w:rPr>
        <w:t xml:space="preserve">ed </w:t>
      </w:r>
      <w:r w:rsidR="007F0E9B">
        <w:rPr>
          <w:color w:val="000000"/>
        </w:rPr>
        <w:t>intergenic regions, exons</w:t>
      </w:r>
      <w:r w:rsidR="002676BE">
        <w:rPr>
          <w:color w:val="000000"/>
        </w:rPr>
        <w:t>,</w:t>
      </w:r>
      <w:r w:rsidR="007F0E9B">
        <w:rPr>
          <w:color w:val="000000"/>
        </w:rPr>
        <w:t xml:space="preserve"> introns </w:t>
      </w:r>
      <w:r w:rsidR="002676BE">
        <w:rPr>
          <w:color w:val="000000"/>
        </w:rPr>
        <w:t xml:space="preserve">and CGI (CpG Islands) </w:t>
      </w:r>
      <w:r w:rsidR="007F0E9B">
        <w:rPr>
          <w:color w:val="000000"/>
        </w:rPr>
        <w:t xml:space="preserve">from the </w:t>
      </w:r>
      <w:proofErr w:type="spellStart"/>
      <w:r w:rsidR="007F0E9B">
        <w:rPr>
          <w:color w:val="000000"/>
        </w:rPr>
        <w:t>RefSeq</w:t>
      </w:r>
      <w:proofErr w:type="spellEnd"/>
      <w:r w:rsidR="007F0E9B">
        <w:rPr>
          <w:color w:val="000000"/>
        </w:rPr>
        <w:t xml:space="preserve"> </w:t>
      </w:r>
      <w:r w:rsidR="002676BE">
        <w:rPr>
          <w:color w:val="000000"/>
        </w:rPr>
        <w:t xml:space="preserve">mouse </w:t>
      </w:r>
      <w:r w:rsidR="007F0E9B">
        <w:rPr>
          <w:color w:val="000000"/>
        </w:rPr>
        <w:t xml:space="preserve">gene model downloaded from the UCSC browser and </w:t>
      </w:r>
      <w:r w:rsidR="002676BE">
        <w:rPr>
          <w:color w:val="000000"/>
        </w:rPr>
        <w:t xml:space="preserve">we defined </w:t>
      </w:r>
      <w:r>
        <w:rPr>
          <w:color w:val="000000"/>
        </w:rPr>
        <w:t xml:space="preserve">promoters as the regions 2000 bp upstream and 500 bp downstream of the </w:t>
      </w:r>
      <w:r w:rsidR="007F0E9B">
        <w:rPr>
          <w:color w:val="000000"/>
        </w:rPr>
        <w:t xml:space="preserve">same </w:t>
      </w:r>
      <w:proofErr w:type="spellStart"/>
      <w:r>
        <w:rPr>
          <w:color w:val="000000"/>
        </w:rPr>
        <w:t>Refseq</w:t>
      </w:r>
      <w:proofErr w:type="spellEnd"/>
      <w:r>
        <w:rPr>
          <w:color w:val="000000"/>
        </w:rPr>
        <w:t xml:space="preserve"> </w:t>
      </w:r>
      <w:r w:rsidR="007F0E9B">
        <w:rPr>
          <w:color w:val="000000"/>
        </w:rPr>
        <w:t>gene model</w:t>
      </w:r>
      <w:r>
        <w:rPr>
          <w:color w:val="000000"/>
        </w:rPr>
        <w:t>.</w:t>
      </w:r>
    </w:p>
    <w:p w14:paraId="32823089" w14:textId="77777777" w:rsidR="007A157A" w:rsidRDefault="002F682D" w:rsidP="002F682D">
      <w:pPr>
        <w:pStyle w:val="NormalWeb"/>
        <w:shd w:val="clear" w:color="auto" w:fill="FFFFFF"/>
        <w:spacing w:before="166" w:beforeAutospacing="0" w:after="166" w:afterAutospacing="0"/>
        <w:rPr>
          <w:color w:val="000000"/>
        </w:rPr>
      </w:pPr>
      <w:r>
        <w:rPr>
          <w:color w:val="000000"/>
        </w:rPr>
        <w:t>We used GREAT (Genomic Region Enrichment of Annotation Tool)</w:t>
      </w:r>
      <w:r w:rsidR="002676BE" w:rsidRPr="002676BE">
        <w:rPr>
          <w:color w:val="000000"/>
          <w:vertAlign w:val="superscript"/>
        </w:rPr>
        <w:t>2</w:t>
      </w:r>
      <w:r w:rsidR="002676BE">
        <w:rPr>
          <w:color w:val="000000"/>
        </w:rPr>
        <w:t xml:space="preserve"> </w:t>
      </w:r>
      <w:r>
        <w:rPr>
          <w:color w:val="000000"/>
        </w:rPr>
        <w:t>to associate DMRs with genes. We limited the associations to genes within 20kb of DMRs and used an FDR threshold of 10</w:t>
      </w:r>
      <w:r w:rsidRPr="007A157A">
        <w:rPr>
          <w:color w:val="000000"/>
        </w:rPr>
        <w:t>−6</w:t>
      </w:r>
      <w:r>
        <w:rPr>
          <w:color w:val="000000"/>
        </w:rPr>
        <w:t> and a fold enrichment threshold of 2.</w:t>
      </w:r>
    </w:p>
    <w:p w14:paraId="478CD3C8" w14:textId="77777777" w:rsidR="007A157A" w:rsidRDefault="007A157A" w:rsidP="002F682D">
      <w:pPr>
        <w:pStyle w:val="NormalWeb"/>
        <w:shd w:val="clear" w:color="auto" w:fill="FFFFFF"/>
        <w:spacing w:before="166" w:beforeAutospacing="0" w:after="166" w:afterAutospacing="0"/>
        <w:rPr>
          <w:color w:val="000000"/>
        </w:rPr>
      </w:pPr>
    </w:p>
    <w:p w14:paraId="00A57B99" w14:textId="77777777" w:rsidR="007A157A" w:rsidRPr="002676BE" w:rsidRDefault="007A157A" w:rsidP="002F682D">
      <w:pPr>
        <w:pStyle w:val="NormalWeb"/>
        <w:shd w:val="clear" w:color="auto" w:fill="FFFFFF"/>
        <w:spacing w:before="166" w:beforeAutospacing="0" w:after="166" w:afterAutospacing="0"/>
        <w:rPr>
          <w:color w:val="000000"/>
          <w:sz w:val="28"/>
          <w:szCs w:val="28"/>
        </w:rPr>
      </w:pPr>
      <w:r w:rsidRPr="002676BE">
        <w:rPr>
          <w:color w:val="000000"/>
          <w:sz w:val="28"/>
          <w:szCs w:val="28"/>
        </w:rPr>
        <w:t>References:</w:t>
      </w:r>
    </w:p>
    <w:p w14:paraId="67834B2F" w14:textId="77777777" w:rsidR="007A157A" w:rsidRDefault="007A157A" w:rsidP="002F682D">
      <w:pPr>
        <w:pStyle w:val="NormalWeb"/>
        <w:shd w:val="clear" w:color="auto" w:fill="FFFFFF"/>
        <w:spacing w:before="166" w:beforeAutospacing="0" w:after="166" w:afterAutospacing="0"/>
        <w:rPr>
          <w:color w:val="000000"/>
        </w:rPr>
      </w:pPr>
    </w:p>
    <w:p w14:paraId="32E84988" w14:textId="77777777" w:rsidR="007A157A" w:rsidRDefault="007A157A" w:rsidP="007A157A">
      <w:pPr>
        <w:pStyle w:val="ListParagraph"/>
        <w:numPr>
          <w:ilvl w:val="0"/>
          <w:numId w:val="2"/>
        </w:numPr>
        <w:rPr>
          <w:color w:val="000000"/>
        </w:rPr>
      </w:pPr>
      <w:r w:rsidRPr="007A157A">
        <w:rPr>
          <w:color w:val="000000"/>
        </w:rPr>
        <w:t>Krueger F, Andrews SR. </w:t>
      </w:r>
      <w:proofErr w:type="spellStart"/>
      <w:r w:rsidRPr="007A157A">
        <w:rPr>
          <w:b/>
          <w:color w:val="000000"/>
        </w:rPr>
        <w:t>Bismark</w:t>
      </w:r>
      <w:proofErr w:type="spellEnd"/>
      <w:r w:rsidRPr="007A157A">
        <w:rPr>
          <w:b/>
          <w:color w:val="000000"/>
        </w:rPr>
        <w:t xml:space="preserve">: a flexible aligner and methylation caller for Bisulfite-Seq </w:t>
      </w:r>
      <w:proofErr w:type="spellStart"/>
      <w:proofErr w:type="gramStart"/>
      <w:r w:rsidRPr="007A157A">
        <w:rPr>
          <w:b/>
          <w:color w:val="000000"/>
        </w:rPr>
        <w:t>applications</w:t>
      </w:r>
      <w:r w:rsidRPr="007A157A">
        <w:rPr>
          <w:color w:val="000000"/>
        </w:rPr>
        <w:t>.</w:t>
      </w:r>
      <w:r w:rsidRPr="007A157A">
        <w:rPr>
          <w:i/>
          <w:color w:val="000000"/>
        </w:rPr>
        <w:t>Bioinformatics</w:t>
      </w:r>
      <w:proofErr w:type="spellEnd"/>
      <w:proofErr w:type="gramEnd"/>
      <w:r w:rsidRPr="007A157A">
        <w:rPr>
          <w:color w:val="000000"/>
        </w:rPr>
        <w:t>. 2011 Jun 1;27(11):1571-2</w:t>
      </w:r>
    </w:p>
    <w:p w14:paraId="1459A43A" w14:textId="77777777" w:rsidR="007A157A" w:rsidRPr="002676BE" w:rsidRDefault="007A157A" w:rsidP="007A157A">
      <w:pPr>
        <w:pStyle w:val="ListParagraph"/>
        <w:numPr>
          <w:ilvl w:val="0"/>
          <w:numId w:val="2"/>
        </w:numPr>
        <w:rPr>
          <w:color w:val="000000"/>
        </w:rPr>
      </w:pPr>
      <w:r w:rsidRPr="002676BE">
        <w:rPr>
          <w:color w:val="000000"/>
        </w:rPr>
        <w:t xml:space="preserve">McLean, C., </w:t>
      </w:r>
      <w:proofErr w:type="spellStart"/>
      <w:r w:rsidRPr="002676BE">
        <w:rPr>
          <w:color w:val="000000"/>
        </w:rPr>
        <w:t>Bristor</w:t>
      </w:r>
      <w:proofErr w:type="spellEnd"/>
      <w:r w:rsidRPr="002676BE">
        <w:rPr>
          <w:color w:val="000000"/>
        </w:rPr>
        <w:t>, D., Hiller, M. et al. </w:t>
      </w:r>
      <w:r w:rsidRPr="002676BE">
        <w:rPr>
          <w:b/>
          <w:color w:val="000000"/>
        </w:rPr>
        <w:t>GREAT improves functional interpretation of cis-regulatory regions.</w:t>
      </w:r>
      <w:r w:rsidRPr="002676BE">
        <w:rPr>
          <w:color w:val="000000"/>
        </w:rPr>
        <w:t> </w:t>
      </w:r>
      <w:r w:rsidRPr="002676BE">
        <w:rPr>
          <w:i/>
          <w:color w:val="000000"/>
        </w:rPr>
        <w:t xml:space="preserve">Nat </w:t>
      </w:r>
      <w:proofErr w:type="spellStart"/>
      <w:r w:rsidRPr="002676BE">
        <w:rPr>
          <w:i/>
          <w:color w:val="000000"/>
        </w:rPr>
        <w:t>Biotechnol</w:t>
      </w:r>
      <w:proofErr w:type="spellEnd"/>
      <w:r w:rsidRPr="002676BE">
        <w:rPr>
          <w:color w:val="000000"/>
        </w:rPr>
        <w:t> 28, 495–501 (2010). https://doi.org/10.1038/nbt.1630</w:t>
      </w:r>
    </w:p>
    <w:p w14:paraId="4DFDF2ED" w14:textId="77777777" w:rsidR="00BB200E" w:rsidRPr="007A157A" w:rsidRDefault="000A2B6C">
      <w:pPr>
        <w:rPr>
          <w:color w:val="000000"/>
        </w:rPr>
      </w:pPr>
    </w:p>
    <w:sectPr w:rsidR="00BB200E" w:rsidRPr="007A157A" w:rsidSect="00CA5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84A6B"/>
    <w:multiLevelType w:val="hybridMultilevel"/>
    <w:tmpl w:val="564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16C3"/>
    <w:multiLevelType w:val="hybridMultilevel"/>
    <w:tmpl w:val="B812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2D"/>
    <w:rsid w:val="000A2B6C"/>
    <w:rsid w:val="001032F6"/>
    <w:rsid w:val="00104A87"/>
    <w:rsid w:val="00126815"/>
    <w:rsid w:val="002676BE"/>
    <w:rsid w:val="002C0802"/>
    <w:rsid w:val="002E2FB5"/>
    <w:rsid w:val="002E7130"/>
    <w:rsid w:val="002F682D"/>
    <w:rsid w:val="003E595D"/>
    <w:rsid w:val="0056493A"/>
    <w:rsid w:val="005C3C9E"/>
    <w:rsid w:val="006A367F"/>
    <w:rsid w:val="007750BC"/>
    <w:rsid w:val="007A157A"/>
    <w:rsid w:val="007F0E9B"/>
    <w:rsid w:val="00871502"/>
    <w:rsid w:val="009B2EF4"/>
    <w:rsid w:val="00A00BDD"/>
    <w:rsid w:val="00CA5811"/>
    <w:rsid w:val="00CF6B0C"/>
    <w:rsid w:val="00FF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F08FE"/>
  <w15:chartTrackingRefBased/>
  <w15:docId w15:val="{D817B63E-6738-D749-B3F1-15057384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7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2F682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F68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682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A157A"/>
    <w:rPr>
      <w:b/>
      <w:bCs/>
    </w:rPr>
  </w:style>
  <w:style w:type="paragraph" w:styleId="ListParagraph">
    <w:name w:val="List Paragraph"/>
    <w:basedOn w:val="Normal"/>
    <w:uiPriority w:val="34"/>
    <w:qFormat/>
    <w:rsid w:val="007A1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Bareke</dc:creator>
  <cp:keywords/>
  <dc:description/>
  <cp:lastModifiedBy>Malagoli Tagliazucchi, Guidantonio</cp:lastModifiedBy>
  <cp:revision>3</cp:revision>
  <dcterms:created xsi:type="dcterms:W3CDTF">2021-04-26T10:23:00Z</dcterms:created>
  <dcterms:modified xsi:type="dcterms:W3CDTF">2021-04-26T15:09:00Z</dcterms:modified>
</cp:coreProperties>
</file>