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Paradigma: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Imperativos: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Trabajamos con variables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Programacion O O, Estructurada Ordenes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Logica: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 se le da ordenes explicitas, sino que se devide en: Predicados o hechos, Reglas.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Hechos:Cosas que son ciertas. Una base de conocimientos de hechos.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Reglas: Relacionar esos hechos, comportamientos, dependencias.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Sobre eso puede hacer consultas y tendría que responderme.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No programamos las consultas, sino que va comprando y en base a eso nos da la respuesta.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 usa en IA. Detecci{on de lenguaje natural, sistemas expertos.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Funcional: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Ejemplo  Haskell, Lisp.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Prolog:</w:t>
      </w:r>
      <w:r w:rsidDel="00000000" w:rsidR="00000000" w:rsidRPr="00000000">
        <w:rPr>
          <w:rtl w:val="0"/>
        </w:rPr>
        <w:t xml:space="preserve"> SWI-prolog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Las constantes van en minuscula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Operadores: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, and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; or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=&lt;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Is (asignaci{on)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x=y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x/=y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x/==y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x==y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dif(x,y)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not(regla)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