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01D12" w:rsidRDefault="00601D12" w:rsidP="00601D12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601D12" w:rsidRDefault="00601D12" w:rsidP="00601D12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601D12" w:rsidRDefault="00601D12" w:rsidP="00601D12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601D12" w:rsidRDefault="00601D12" w:rsidP="00601D12">
      <w:pPr>
        <w:jc w:val="center"/>
        <w:rPr>
          <w:rFonts w:ascii="Arial" w:hAnsi="Arial" w:cs="Arial"/>
          <w:b/>
          <w:color w:val="555555"/>
          <w:sz w:val="24"/>
        </w:rPr>
      </w:pPr>
    </w:p>
    <w:p w:rsidR="00601D12" w:rsidRDefault="00601D12" w:rsidP="00601D12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601D12" w:rsidRDefault="00601D12" w:rsidP="00601D12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601D12" w:rsidRDefault="00601D12" w:rsidP="00601D12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601D12" w:rsidRDefault="00601D12" w:rsidP="00601D12">
      <w:pPr>
        <w:jc w:val="center"/>
        <w:rPr>
          <w:rFonts w:ascii="Arial" w:hAnsi="Arial" w:cs="Arial"/>
          <w:b/>
          <w:color w:val="333333"/>
        </w:rPr>
      </w:pPr>
    </w:p>
    <w:p w:rsidR="00601D12" w:rsidRDefault="00601D12" w:rsidP="00601D12">
      <w:pPr>
        <w:jc w:val="center"/>
        <w:rPr>
          <w:rFonts w:ascii="Arial" w:hAnsi="Arial" w:cs="Arial"/>
          <w:b/>
          <w:color w:val="333333"/>
        </w:rPr>
      </w:pPr>
    </w:p>
    <w:p w:rsidR="00601D12" w:rsidRDefault="00601D12" w:rsidP="00601D12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601D12" w:rsidRDefault="00601D12" w:rsidP="00601D12">
      <w:pPr>
        <w:jc w:val="center"/>
        <w:rPr>
          <w:rFonts w:ascii="Arial" w:hAnsi="Arial" w:cs="Arial"/>
          <w:b/>
          <w:color w:val="1B365D"/>
          <w:sz w:val="44"/>
        </w:rPr>
      </w:pPr>
    </w:p>
    <w:p w:rsidR="00601D12" w:rsidRDefault="00601D12" w:rsidP="00601D12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601D12" w:rsidRDefault="00601D12" w:rsidP="00601D12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601D12" w:rsidRDefault="00601D12" w:rsidP="00601D12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"Optimizando los procedimientos organizacionales como columna vertebral para asegurar un software escalable, seguro y sostenible"</w:t>
      </w:r>
    </w:p>
    <w:p w:rsidR="00601D12" w:rsidRDefault="00601D12" w:rsidP="00601D12">
      <w:pPr>
        <w:jc w:val="center"/>
        <w:rPr>
          <w:rFonts w:ascii="Arial" w:hAnsi="Arial" w:cs="Arial"/>
          <w:i/>
          <w:color w:val="666666"/>
          <w:sz w:val="20"/>
        </w:rPr>
      </w:pPr>
    </w:p>
    <w:p w:rsidR="00601D12" w:rsidRDefault="00601D12" w:rsidP="00601D12">
      <w:pPr>
        <w:jc w:val="center"/>
        <w:rPr>
          <w:rFonts w:ascii="Arial" w:hAnsi="Arial" w:cs="Arial"/>
          <w:i/>
          <w:color w:val="666666"/>
          <w:sz w:val="20"/>
        </w:rPr>
      </w:pPr>
    </w:p>
    <w:p w:rsidR="00601D12" w:rsidRDefault="00601D12" w:rsidP="00601D12">
      <w:pPr>
        <w:jc w:val="center"/>
        <w:rPr>
          <w:rFonts w:ascii="Arial" w:hAnsi="Arial" w:cs="Arial"/>
          <w:i/>
          <w:color w:val="666666"/>
          <w:sz w:val="20"/>
        </w:rPr>
      </w:pPr>
    </w:p>
    <w:p w:rsidR="00601D12" w:rsidRDefault="00601D12" w:rsidP="00601D12">
      <w:pPr>
        <w:jc w:val="center"/>
        <w:rPr>
          <w:rFonts w:ascii="Arial" w:hAnsi="Arial" w:cs="Arial"/>
          <w:i/>
          <w:color w:val="666666"/>
          <w:sz w:val="20"/>
        </w:rPr>
      </w:pPr>
    </w:p>
    <w:p w:rsidR="00601D12" w:rsidRDefault="00601D12" w:rsidP="00601D12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601D12" w:rsidRDefault="00601D12" w:rsidP="00601D12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601D12" w:rsidRDefault="00601D12" w:rsidP="00601D12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601D12" w:rsidRDefault="00601D12" w:rsidP="00601D12">
      <w:pPr>
        <w:rPr>
          <w:rFonts w:ascii="Arial" w:hAnsi="Arial" w:cs="Arial"/>
          <w:color w:val="000000"/>
        </w:rPr>
      </w:pPr>
    </w:p>
    <w:p w:rsidR="00601D12" w:rsidRDefault="00601D12" w:rsidP="00601D12">
      <w:pPr>
        <w:rPr>
          <w:rFonts w:ascii="Arial" w:hAnsi="Arial" w:cs="Arial"/>
          <w:color w:val="000000"/>
        </w:rPr>
      </w:pPr>
    </w:p>
    <w:p w:rsidR="00601D12" w:rsidRDefault="00601D12" w:rsidP="00601D12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601D12" w:rsidRDefault="00601D12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601D12" w:rsidP="00601D12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enfrenta el desafío de administrar un ecosistema tecnológico heterogéneo que combina aplicaciones heredadas (*legacy*) con soluciones modernas, operando con una dotación de personal acotada y distribuida en distintas dependencias físicas. Para dar respuesta a las crecientes demandas de digitalización municipal, la Jefatura debe orquestar estos recursos con una visión gerencial y pragmática.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plan se divide metodológicamente en: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**Un Diagnóstico Integral (FODA):** Identificación de fortalezas, cuellos de botella y deudas técnicas reales.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**Definición de Objetivos Estratégicos:** Alineados a la gobernanza del software municipal.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**Propuestas de Optimización con Recursos Actuales (Escenario REAL - Costo $0):** Centradas en la agilidad adaptativa, estandarización de arquitectura y buenas prácticas.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**Proyección con Incorporación de Recursos (Escenario IDEAL - Con Presupuesto):** Inversión escalonada en herramientas tecnológicas, capacitación formal y licencias.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**Modelo de Gestión, Implementación por Etapas e Indicadores:** Hoja de ruta por fases y métricas de riesgo operacional.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Fortalezas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**Conocimiento Profundo del Negocio Municipal:** El personal posee un dominio valioso de las normativas, circuitos administrativos, trámites y reglas operativas de la administración pública local.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**Bases Tecnológicas e Iniciativas Existentes:** Existencia de herramientas consolidadas (repositorios en GitLab, seguimiento en Redmine, entornos dockerizados en ciertos proyectos) y el desarrollo interno de un *template* de arquitectura base en evolución.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Debilidades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**Fragmentación Tecnológica y Desintegración Arquitectónica:** Coexistencia caótica de tecnologías obsoletas (WebForms con SQL 2005) junto a tecnologías modernas (.NET, React, Angular, PHP, PostgreSQL). Aunque existe un *template* de arquitectura base, su uso no ha sido obligatorio ni uniforme.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**Multitarea Extrema y Conocimiento Concentrado (*Single Point of Failure*):** La escasa dotación frente a la alta demanda obliga al personal a atender simultáneamente emergencias *legacy* de diversas áreas y desarrollos nuevos. Esto genera saltos de contexto constantes y un alto riesgo operativo: la existencia de sistemas críticos que dependen del conocimiento exclusivo de una sola persona.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**Aislamiento Operativo entre Dependencias:** La distribución física del personal en dos oficinas distintas genera descoordinación, aislamiento en silos de información y el riesgo de desarrollar funcionalidades duplicadas por falta de comunicación.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**Seguimiento y Estimación Caóticos:** Uso fragmentado de herramientas (algunos agentes usan Redmine, otros planillas desactualizadas en Excel o registros informales), impidiendo conocer la capacidad operativa real del departamento.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**Documentación Inexistente o Desigual:** Falta de manuales técnicos, diccionarios de datos o registros de arquitectura, lo que profundiza la dependencia de programadores específicos.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**Ausencia de Gobierno Técnico sobre Proveedores Externos:** Los desarrollos contratados a terceros corren el riesgo de entregarse sin documentación suficiente, sin transferir el conocimiento o sin alinearse con los estándares municipales.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**Pruebas de Software Reactivas:** Al no existir el rol de QA en el organigrama municipal (ni la posibilidad de crear nuevos cargos en el escalafón), la verificación de errores depende del propio desarrollador o salta en post-producción reportada por el usuario.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**Uso de IA Informal e Inseguro:** La utilización de herramientas de IA se da por iniciativa personal, sin licencias institucionales y sin pautas claras de seguridad sobre la protección de datos sensibles municipales.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Oportunidades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**Adopción de Marcos Ágiles Híbridos:** Implementación de metodologías ágiles adaptadas a la realidad municipal a costo cero.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**Estandarización mediante la Arquitectura Base:** Consolidar el *template* preexistente como norma obligatoria para todos los desarrollos.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Amenazas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**Cambios Rápidos en Demandas de Gestión:** Necesidad de acelerar entregas sin comprometer la seguridad ni la mantenibilidad.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**Riesgos de Ciberseguridad y Fuga de Datos:** Vulnerabilidades en código heredado o uso inadvertido de IA pública compartiendo datos institucionales.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Jefe de Departamento como *Scrum Master Global* y Gestor Gerencial:** La Jefatura asumirá un doble rol activo: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*Como Gestor Gerencial:* Evaluará el rendimiento global del departamento, medirá la capacidad operativa en Redmine y garantizará la alineación estratégica con las autoridades.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**El "Product Owner" Institucional:** El rol de *Product Owner* recaerá en los referentes o jefaturas de las Secretarías usuarias solicitantes, quienes serán responsables de priorizar su propio *Backlog* de necesidades.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Gobierno Técnico de Proveedores Externos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contratación externa de software no significará la pérdida de control institucional. Se establecerán cláusulas procedimentales donde todo proveedor deba: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Alinear su desarrollo a los estándares de arquitectura y seguridad del Municipio.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Entregar obligatoriamente código fuente, manuales técnicos y diccionarios de datos actualizados.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Someterse a pruebas de recepción validadas por el personal técnico del Departamento antes de la aceptación final.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Protocolo Institucional de Seguridad y Privacidad para Uso de IA Gratuita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Ante el uso informal de herramientas gratuitas de IA por parte del personal, se fijará una directiva clara de **Seguridad y Privacidad**: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Queda estrictamente prohibido introducir en herramientas de IA públicas datos personales de ciudadanos, credenciales de acceso, claves de bases de datos o código fuente institucional sensible.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La IA se utilizará únicamente como asistente para generación de estructuras auxiliares, aprendizaje o documentación general, quedando siempre sujeta a la revisión profesional humana.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Financiamiento de cursos de formación profesional en **Arquitecturas Limpias (*Clean Architecture*)**, Patrones de Diseño, Microservicios y APIs REST.</w:t>
      </w:r>
    </w:p>
    <w:p w:rsidR="00601D12" w:rsidRDefault="00601D12" w:rsidP="00601D12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 – Conocer y Ordenar (Sprints 1 a 4):**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Relevamiento de competencias y consolidación del Inventario de Sistemas.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Conformación de la Cartera Única de Proyectos (evaluación previa de reutilización antes de crear código nuevo).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Unificación del seguimiento obligatorio en Redmine y asignación de los primeros *Referentes Secundarios*.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 – Integrar y Estandarizar (Sprints 5 a 12):**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Puesta en marcha de las reuniones de coordinación transversal entre ambas oficinas.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Difusión y exigencia obligatoria de las Guías de Buenas Prácticas y del Template de Arquitectura Base.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del protocolo de Gobierno Técnico de Proveedores Externos.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**Etapa III – Consolidar y Evaluar (Sprints 13+):**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Evaluación de los indicadores de riesgo operacional.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Paso a producción de aplicaciones dockerizadas en sinergia con el área de Redes.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Implementación gradual de revisiones de código cruzadas (*peer review*) en GitLab para cambios críticos.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**Proceso Permanente – Mejora Continua e Innovación:**</w:t>
      </w:r>
    </w:p>
    <w:p w:rsidR="00601D12" w:rsidRDefault="00601D12" w:rsidP="00601D12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â€¢    Revisión periódica de procedimientos, actualización de capacitaciones y evaluación fundamentada de nuevas tecnologías (IA corporativa y automatización).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601D12" w:rsidRPr="00601D12" w:rsidRDefault="00601D12" w:rsidP="00601D12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601D12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601D12" w:rsidRPr="00601D12" w:rsidRDefault="00601D12" w:rsidP="00601D12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601D12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601D12" w:rsidRPr="00601D12" w:rsidRDefault="00601D12" w:rsidP="00601D12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601D12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601D12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601D12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% de Desarrollos Externos con Gobierno Técnico Aceptado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601D12" w:rsidTr="00601D12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**Gobernanza de IA**</w:t>
            </w:r>
          </w:p>
        </w:tc>
        <w:tc>
          <w:tcPr>
            <w:tcW w:w="3118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Cumplimiento del Protocolo de Seguridad en IA</w:t>
            </w:r>
          </w:p>
        </w:tc>
        <w:tc>
          <w:tcPr>
            <w:tcW w:w="3119" w:type="dxa"/>
            <w:shd w:val="clear" w:color="auto" w:fill="F5F5F5"/>
          </w:tcPr>
          <w:p w:rsidR="00601D12" w:rsidRPr="00601D12" w:rsidRDefault="00601D12" w:rsidP="00601D12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601D12">
              <w:rPr>
                <w:rFonts w:ascii="Arial" w:hAnsi="Arial" w:cs="Arial"/>
                <w:color w:val="222222"/>
                <w:sz w:val="18"/>
              </w:rPr>
              <w:t>Proteger el 100% de la información sensible municipal.</w:t>
            </w:r>
          </w:p>
        </w:tc>
      </w:tr>
    </w:tbl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601D12" w:rsidRDefault="00601D12" w:rsidP="00601D12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601D12" w:rsidRDefault="00601D12" w:rsidP="00601D12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601D12" w:rsidRPr="00601D12" w:rsidRDefault="00601D12" w:rsidP="00601D12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601D12" w:rsidRPr="00601D12" w:rsidSect="00601D1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01D12" w:rsidRDefault="00601D12" w:rsidP="00601D12">
      <w:pPr>
        <w:spacing w:after="0" w:line="240" w:lineRule="auto"/>
      </w:pPr>
      <w:r>
        <w:separator/>
      </w:r>
    </w:p>
  </w:endnote>
  <w:endnote w:type="continuationSeparator" w:id="0">
    <w:p w:rsidR="00601D12" w:rsidRDefault="00601D12" w:rsidP="00601D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01D12" w:rsidRDefault="00601D12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01D12" w:rsidRPr="00601D12" w:rsidRDefault="00601D12" w:rsidP="00601D12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01D12" w:rsidRDefault="00601D12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01D12" w:rsidRDefault="00601D12" w:rsidP="00601D12">
      <w:pPr>
        <w:spacing w:after="0" w:line="240" w:lineRule="auto"/>
      </w:pPr>
      <w:r>
        <w:separator/>
      </w:r>
    </w:p>
  </w:footnote>
  <w:footnote w:type="continuationSeparator" w:id="0">
    <w:p w:rsidR="00601D12" w:rsidRDefault="00601D12" w:rsidP="00601D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01D12" w:rsidRDefault="00601D12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01D12" w:rsidRPr="00601D12" w:rsidRDefault="00601D12" w:rsidP="00601D12">
    <w:pPr>
      <w:pStyle w:val="Encabezado"/>
      <w:jc w:val="right"/>
      <w:rPr>
        <w:rFonts w:ascii="Arial" w:hAnsi="Arial" w:cs="Arial"/>
        <w:color w:val="777777"/>
        <w:sz w:val="17"/>
      </w:rPr>
    </w:pPr>
    <w:r w:rsidRPr="00601D12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01D12" w:rsidRDefault="00601D1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1D12"/>
    <w:rsid w:val="003C5AAE"/>
    <w:rsid w:val="00601D12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5BEB1F-CF40-4787-ABFC-72A845530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1D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01D12"/>
  </w:style>
  <w:style w:type="paragraph" w:styleId="Piedepgina">
    <w:name w:val="footer"/>
    <w:basedOn w:val="Normal"/>
    <w:link w:val="PiedepginaCar"/>
    <w:uiPriority w:val="99"/>
    <w:unhideWhenUsed/>
    <w:rsid w:val="00601D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1D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2788</Words>
  <Characters>15339</Characters>
  <Application>Microsoft Office Word</Application>
  <DocSecurity>0</DocSecurity>
  <Lines>127</Lines>
  <Paragraphs>36</Paragraphs>
  <ScaleCrop>false</ScaleCrop>
  <Company/>
  <LinksUpToDate>false</LinksUpToDate>
  <CharactersWithSpaces>18091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2026-07-27T13:54:00Z</dcterms:created>
  <dcterms:modified xsi:type="dcterms:W3CDTF">2026-07-27T13:54:00Z</dcterms:modified>
</cp:coreProperties>
</file>