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MUNICIPALIDAD DE GENERAL PUEYRREDON</w:t>
      </w:r>
    </w:p>
    <w:p>
      <w:pPr>
        <w:jc w:val="center"/>
      </w:pPr>
      <w:r>
        <w:rPr>
          <w:rFonts w:ascii="Arial" w:cs="Arial" w:eastAsia="Arial" w:hAnsi="Arial"/>
          <w:b/>
          <w:bCs/>
          <w:sz w:val="20"/>
          <w:szCs w:val="20"/>
        </w:rPr>
        <w:t xml:space="preserve">SECRETARÍA DE PARTICIPACIÓN CIUDADANA Y DESCENTRALIZACIÓN</w:t>
      </w:r>
    </w:p>
    <w:p>
      <w:pPr>
        <w:jc w:val="center"/>
      </w:pPr>
      <w:r>
        <w:rPr>
          <w:rFonts w:ascii="Arial" w:cs="Arial" w:eastAsia="Arial" w:hAnsi="Arial"/>
          <w:b/>
          <w:bCs/>
          <w:sz w:val="20"/>
          <w:szCs w:val="20"/>
        </w:rPr>
        <w:t xml:space="preserve">SUBSECRETARÍA DE GOBIERNO DIGITAL Y MEJORA DE PROCESOS</w:t>
      </w:r>
    </w:p>
    <w:p/>
    <w:p>
      <w:pPr>
        <w:jc w:val="center"/>
      </w:pPr>
      <w:r>
        <w:rPr>
          <w:rFonts w:ascii="Arial" w:cs="Arial" w:eastAsia="Arial" w:hAnsi="Arial"/>
          <w:b/>
          <w:bCs/>
          <w:sz w:val="22"/>
          <w:szCs w:val="22"/>
        </w:rPr>
        <w:t xml:space="preserve">Concurso Interno de Oposición y Antecedentes</w:t>
      </w:r>
    </w:p>
    <w:p>
      <w:pPr>
        <w:jc w:val="center"/>
      </w:pPr>
      <w:r>
        <w:rPr>
          <w:rFonts w:ascii="Arial" w:cs="Arial" w:eastAsia="Arial" w:hAnsi="Arial"/>
          <w:b/>
          <w:bCs/>
          <w:sz w:val="22"/>
          <w:szCs w:val="22"/>
        </w:rPr>
        <w:t xml:space="preserve">Cargo: Jefe de Departamento de Gestión, Desarrollo e Innovación en Sistemas de Software</w:t>
      </w:r>
    </w:p>
    <w:p>
      <w:pPr>
        <w:jc w:val="center"/>
      </w:pPr>
      <w:r>
        <w:rPr>
          <w:rFonts w:ascii="Arial" w:cs="Arial" w:eastAsia="Arial" w:hAnsi="Arial"/>
          <w:i/>
          <w:iCs/>
          <w:sz w:val="20"/>
          <w:szCs w:val="20"/>
        </w:rPr>
        <w:t xml:space="preserve">C.F. 1-31-00-01 – Nº de Orden 6733</w:t>
      </w:r>
    </w:p>
    <w:p/>
    <w:p>
      <w:pPr>
        <w:pStyle w:val="Heading1"/>
        <w:jc w:val="center"/>
      </w:pPr>
      <w:r>
        <w:rPr>
          <w:rFonts w:ascii="Arial" w:cs="Arial" w:eastAsia="Arial" w:hAnsi="Arial"/>
          <w:b/>
          <w:bCs/>
          <w:sz w:val="28"/>
          <w:szCs w:val="28"/>
        </w:rPr>
        <w:t xml:space="preserve">PLAN DE TRABAJO</w:t>
      </w:r>
    </w:p>
    <w:p>
      <w:pPr>
        <w:jc w:val="center"/>
      </w:pPr>
      <w:r>
        <w:rPr>
          <w:rFonts w:ascii="Arial" w:cs="Arial" w:eastAsia="Arial" w:hAnsi="Arial"/>
          <w:b/>
          <w:bCs/>
          <w:sz w:val="22"/>
          <w:szCs w:val="22"/>
        </w:rPr>
        <w:t xml:space="preserve">Diagnóstico Integral y Propuesta de Mejora para el Funcionamiento del Departamento de Gestión, Desarrollo e Innovación en Sistemas de Software: Optimización con Recursos Actuales y Proyección de Mediano y Largo Plazo</w:t>
      </w:r>
    </w:p>
    <w:p/>
    <w:p>
      <w:pPr>
        <w:jc w:val="center"/>
      </w:pPr>
      <w:r>
        <w:rPr>
          <w:rFonts w:ascii="Arial" w:cs="Arial" w:eastAsia="Arial" w:hAnsi="Arial"/>
          <w:i/>
          <w:iCs/>
          <w:sz w:val="22"/>
          <w:szCs w:val="22"/>
        </w:rPr>
        <w:t xml:space="preserve">"Fortaleciendo la gestión del Departamento mediante la organización, el desarrollo de las personas, la estandarización de procesos y la innovación tecnológica al servicio de la Municipalidad."</w:t>
      </w:r>
    </w:p>
    <w:p/>
    <w:p>
      <w:r>
        <w:rPr>
          <w:rFonts w:ascii="Arial" w:cs="Arial" w:eastAsia="Arial" w:hAnsi="Arial"/>
          <w:b/>
          <w:bCs/>
        </w:rPr>
        <w:t xml:space="preserve">Postulante: </w:t>
      </w:r>
      <w:r>
        <w:rPr>
          <w:rFonts w:ascii="Arial" w:cs="Arial" w:eastAsia="Arial" w:hAnsi="Arial"/>
        </w:rPr>
        <w:t xml:space="preserve">Guido Cassulo</w:t>
      </w:r>
    </w:p>
    <w:p>
      <w:r>
        <w:rPr>
          <w:rFonts w:ascii="Arial" w:cs="Arial" w:eastAsia="Arial" w:hAnsi="Arial"/>
          <w:b/>
          <w:bCs/>
        </w:rPr>
        <w:t xml:space="preserve">Cargo actual: </w:t>
      </w:r>
      <w:r>
        <w:rPr>
          <w:rFonts w:ascii="Arial" w:cs="Arial" w:eastAsia="Arial" w:hAnsi="Arial"/>
        </w:rPr>
        <w:t xml:space="preserve">Analista Programador / Personal de Software</w:t>
      </w:r>
    </w:p>
    <w:p>
      <w:r>
        <w:rPr>
          <w:rFonts w:ascii="Arial" w:cs="Arial" w:eastAsia="Arial" w:hAnsi="Arial"/>
          <w:b/>
          <w:bCs/>
        </w:rPr>
        <w:t xml:space="preserve">Legajo: </w:t>
      </w:r>
      <w:r>
        <w:rPr>
          <w:rFonts w:ascii="Arial" w:cs="Arial" w:eastAsia="Arial" w:hAnsi="Arial"/>
        </w:rPr>
        <w:t xml:space="preserve">[Completar Legajo]</w:t>
      </w:r>
    </w:p>
    <w:p/>
    <w:p>
      <w:pPr>
        <w:jc w:val="center"/>
      </w:pPr>
      <w:r>
        <w:rPr>
          <w:rFonts w:ascii="Arial" w:cs="Arial" w:eastAsia="Arial" w:hAnsi="Arial"/>
          <w:i/>
          <w:iCs/>
        </w:rPr>
        <w:t xml:space="preserve">Mar del Plata – Julio 2026</w:t>
      </w:r>
    </w:p>
    <w:p/>
    <w:p>
      <w:pPr>
        <w:pStyle w:val="Heading1"/>
      </w:pPr>
      <w:r>
        <w:rPr>
          <w:rFonts w:ascii="Arial" w:cs="Arial" w:eastAsia="Arial" w:hAnsi="Arial"/>
          <w:b/>
          <w:bCs/>
          <w:sz w:val="28"/>
          <w:szCs w:val="28"/>
        </w:rPr>
        <w:t xml:space="preserve">1. INTRODUCCIÓN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la intervención en el sitio Web de la Municipalidad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 y cumpliendo con las exigencias del régimen administrativo (Ley Orgánica de las Municipalidades, Ley 14656, RAFAM, GDE y Decreto N° 2250/98).</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solicitar mayores recursos, sino a fortalecer la organización del trabajo con los recursos actuales, establecer criterios comunes y consolidar una cultura de mejora continua.</w:t>
      </w:r>
    </w:p>
    <w:p>
      <w:r>
        <w:t xml:space="preserve">En consecuencia, este Plan de Trabajo propone un modelo de gestión basado estrictamente en la optimización de los recursos existentes ($0 costo presupuestario), que combina liderazgo participativo, organización por procesos, gobierno técnico, gestión del conocimiento e innovación tecnológica, con el objetivo de consolidar un Departamento capaz de responder a las necesidades presentes y garantizar la continuidad y sostenibilidad de sus sistemas más allá de las personas o los cambios de gestión.</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 con recursos propios.</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ejecutables con los recursos actualmente disponibles en el Municipio.</w:t>
      </w:r>
    </w:p>
    <w:p/>
    <w:p>
      <w:pPr>
        <w:pStyle w:val="Heading1"/>
      </w:pPr>
      <w:r>
        <w:rPr>
          <w:rFonts w:ascii="Arial" w:cs="Arial" w:eastAsia="Arial" w:hAnsi="Arial"/>
          <w:b/>
          <w:bCs/>
          <w:sz w:val="28"/>
          <w:szCs w:val="28"/>
        </w:rPr>
        <w:t xml:space="preserve">2. DIAGNÓSTICO INSTITUCIONAL</w:t>
      </w:r>
    </w:p>
    <w:p>
      <w:pPr>
        <w:pStyle w:val="Heading2"/>
      </w:pPr>
      <w:r>
        <w:rPr>
          <w:rFonts w:ascii="Arial" w:cs="Arial" w:eastAsia="Arial" w:hAnsi="Arial"/>
          <w:b/>
          <w:bCs/>
          <w:sz w:val="24"/>
          <w:szCs w:val="24"/>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rFonts w:ascii="Arial" w:cs="Arial" w:eastAsia="Arial" w:hAnsi="Arial"/>
          <w:b/>
          <w:bCs/>
          <w:sz w:val="24"/>
          <w:szCs w:val="24"/>
        </w:rPr>
        <w:t xml:space="preserve">2.2 Análisis FODA</w:t>
      </w:r>
    </w:p>
    <w:p>
      <w:pPr>
        <w:pStyle w:val="Heading3"/>
      </w:pPr>
      <w:r>
        <w:rPr>
          <w:rFonts w:ascii="Arial" w:cs="Arial" w:eastAsia="Arial" w:hAnsi="Arial"/>
          <w:b/>
          <w:bCs/>
          <w:sz w:val="22"/>
          <w:szCs w:val="22"/>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rFonts w:ascii="Arial" w:cs="Arial" w:eastAsia="Arial" w:hAnsi="Arial"/>
          <w:b/>
          <w:bCs/>
          <w:sz w:val="22"/>
          <w:szCs w:val="22"/>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rFonts w:ascii="Arial" w:cs="Arial" w:eastAsia="Arial" w:hAnsi="Arial"/>
          <w:b/>
          <w:bCs/>
          <w:sz w:val="22"/>
          <w:szCs w:val="22"/>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rFonts w:ascii="Arial" w:cs="Arial" w:eastAsia="Arial" w:hAnsi="Arial"/>
          <w:b/>
          <w:bCs/>
          <w:sz w:val="22"/>
          <w:szCs w:val="22"/>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establecido.</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rFonts w:ascii="Arial" w:cs="Arial" w:eastAsia="Arial" w:hAnsi="Arial"/>
          <w:b/>
          <w:bCs/>
          <w:sz w:val="24"/>
          <w:szCs w:val="24"/>
        </w:rPr>
        <w:t xml:space="preserve">2.3 Conclusión del diagnóstico</w:t>
      </w:r>
    </w:p>
    <w:p>
      <w:r>
        <w:t xml:space="preserve">Del análisis realizado surge que el principal desafío del Departamento no radica en solicitar mayores presupuestos ni incorporar tecnologías complejas,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con los recursos actuales ($0 costo adicional), utilizando la innovación tecnológica como un medio para potenciar la capacidad institucional del Departamento.</w:t>
      </w:r>
    </w:p>
    <w:p/>
    <w:p>
      <w:pPr>
        <w:pStyle w:val="Heading1"/>
      </w:pPr>
      <w:r>
        <w:rPr>
          <w:rFonts w:ascii="Arial" w:cs="Arial" w:eastAsia="Arial" w:hAnsi="Arial"/>
          <w:b/>
          <w:bCs/>
          <w:sz w:val="28"/>
          <w:szCs w:val="28"/>
        </w:rPr>
        <w:t xml:space="preserve">3.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rFonts w:ascii="Arial" w:cs="Arial" w:eastAsia="Arial" w:hAnsi="Arial"/>
          <w:b/>
          <w:bCs/>
          <w:sz w:val="24"/>
          <w:szCs w:val="24"/>
        </w:rPr>
        <w:t xml:space="preserve">3.1 Liderazgo basado en la colaboración</w:t>
      </w:r>
    </w:p>
    <w:p>
      <w:r>
        <w:t xml:space="preserve">La conducción del Departamento deberá promover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rFonts w:ascii="Arial" w:cs="Arial" w:eastAsia="Arial" w:hAnsi="Arial"/>
          <w:b/>
          <w:bCs/>
          <w:sz w:val="24"/>
          <w:szCs w:val="24"/>
        </w:rPr>
        <w:t xml:space="preserve">3.2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rFonts w:ascii="Arial" w:cs="Arial" w:eastAsia="Arial" w:hAnsi="Arial"/>
          <w:b/>
          <w:bCs/>
          <w:sz w:val="24"/>
          <w:szCs w:val="24"/>
        </w:rPr>
        <w:t xml:space="preserve">3.3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rFonts w:ascii="Arial" w:cs="Arial" w:eastAsia="Arial" w:hAnsi="Arial"/>
          <w:b/>
          <w:bCs/>
          <w:sz w:val="24"/>
          <w:szCs w:val="24"/>
        </w:rPr>
        <w:t xml:space="preserve">3.4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rFonts w:ascii="Arial" w:cs="Arial" w:eastAsia="Arial" w:hAnsi="Arial"/>
          <w:b/>
          <w:bCs/>
          <w:sz w:val="24"/>
          <w:szCs w:val="24"/>
        </w:rPr>
        <w:t xml:space="preserve">3.5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rFonts w:ascii="Arial" w:cs="Arial" w:eastAsia="Arial" w:hAnsi="Arial"/>
          <w:b/>
          <w:bCs/>
          <w:sz w:val="24"/>
          <w:szCs w:val="24"/>
        </w:rPr>
        <w:t xml:space="preserve">3.6 Orientación al servicio</w:t>
      </w:r>
    </w:p>
    <w:p>
      <w:r>
        <w:t xml:space="preserve">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pPr>
        <w:pStyle w:val="Heading2"/>
      </w:pPr>
      <w:r>
        <w:rPr>
          <w:rFonts w:ascii="Arial" w:cs="Arial" w:eastAsia="Arial" w:hAnsi="Arial"/>
          <w:b/>
          <w:bCs/>
          <w:sz w:val="24"/>
          <w:szCs w:val="24"/>
        </w:rPr>
        <w:t xml:space="preserve">3.7 Decisiones basadas en evidencia</w:t>
      </w:r>
    </w:p>
    <w:p>
      <w:r>
        <w:t xml:space="preserve">La planificación y administración del Departamento deberá apoyarse en información objetiva proveniente de indicadores que midan la capacidad operativa, la evolución de proyectos y los cuellos de botella.</w:t>
      </w:r>
    </w:p>
    <w:p/>
    <w:p>
      <w:pPr>
        <w:pStyle w:val="Heading1"/>
      </w:pPr>
      <w:r>
        <w:rPr>
          <w:rFonts w:ascii="Arial" w:cs="Arial" w:eastAsia="Arial" w:hAnsi="Arial"/>
          <w:b/>
          <w:bCs/>
          <w:sz w:val="28"/>
          <w:szCs w:val="28"/>
        </w:rPr>
        <w:t xml:space="preserve">4. OBJETIVOS</w:t>
      </w:r>
    </w:p>
    <w:p>
      <w:pPr>
        <w:pStyle w:val="Heading2"/>
      </w:pPr>
      <w:r>
        <w:rPr>
          <w:rFonts w:ascii="Arial" w:cs="Arial" w:eastAsia="Arial" w:hAnsi="Arial"/>
          <w:b/>
          <w:bCs/>
          <w:sz w:val="24"/>
          <w:szCs w:val="24"/>
        </w:rPr>
        <w:t xml:space="preserve">4.1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rFonts w:ascii="Arial" w:cs="Arial" w:eastAsia="Arial" w:hAnsi="Arial"/>
          <w:b/>
          <w:bCs/>
          <w:sz w:val="24"/>
          <w:szCs w:val="24"/>
        </w:rPr>
        <w:t xml:space="preserve">4.2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rFonts w:ascii="Arial" w:cs="Arial" w:eastAsia="Arial" w:hAnsi="Arial"/>
          <w:b/>
          <w:bCs/>
          <w:sz w:val="28"/>
          <w:szCs w:val="28"/>
        </w:rPr>
        <w:t xml:space="preserve">5. PROPUESTA DE MEJORA Y OPTIMIZACIÓN CON RECURSOS ACTUALES</w:t>
      </w:r>
    </w:p>
    <w:p>
      <w:r>
        <w:t xml:space="preserve">La principal fortaleza del Departamento radica en el conocimiento técnico y funcional de su personal. Sin embargo, el diagnóstico realizado evidencia que gran parte de las dificultades actuales no responden exclusivamente a limitaciones tecnológicas o presupuestarias, sino a aspectos vinculados con la organización del trabajo, la coordinación entre equipos, la gestión del conocimiento y la ausencia de procedimientos institucionalizados.</w:t>
      </w:r>
    </w:p>
    <w:p>
      <w:r>
        <w:t xml:space="preserve">En este contexto, se propone una estrategia de mejora basada exclusivamente en la optimización de los recursos actualmente disponibles ($0 costo adicional), priorizando acciones que puedan implementarse sin requerir modificaciones en la estructura orgánica ni incorporaciones inmediatas de personal ni erogaciones presupuestarias extra. El objetivo es fortalecer el funcionamiento del Departamento mediante la definición de procesos comunes, la mejora de la planificación, la estandarización técnica y una conducción activa por parte de la Jefatura, dando cumplimiento a los deberes administrativos (40 hs semanales de dedicación, gestión de personal, bienes de la dependencia y anteproyecto presupuestario anual).</w:t>
      </w:r>
    </w:p>
    <w:p>
      <w:r>
        <w:t xml:space="preserve">Las medidas que se desarrollan a continuación responden directamente a las debilidades identificadas en el diagnóstico y se orientan a mejorar la capacidad del Departamento para desarrollar, mantener e integrar sistemas informáticos de forma eficiente, segura y sostenible.</w:t>
      </w:r>
    </w:p>
    <w:p/>
    <w:p>
      <w:pPr>
        <w:pStyle w:val="Heading2"/>
      </w:pPr>
      <w:r>
        <w:rPr>
          <w:rFonts w:ascii="Arial" w:cs="Arial" w:eastAsia="Arial" w:hAnsi="Arial"/>
          <w:b/>
          <w:bCs/>
          <w:sz w:val="24"/>
          <w:szCs w:val="24"/>
        </w:rPr>
        <w:t xml:space="preserve">5.1 Organización y planificación del trabajo</w:t>
      </w:r>
    </w:p>
    <w:p>
      <w:r>
        <w:t xml:space="preserve">El Departamento desarrolla simultáneamente actividades de mantenimiento de sistemas existentes, atención de incidencias, asistencia técnica a distintas áreas municipales, consultas directas de datos específicos para usuarios y desarrollo de nuevos proyectos. Esta diversidad de tareas, sumada a la cantidad limitada de recursos humanos disponibles, provoca frecuentes cambios de prioridades, interrupciones constantes y dificultades para planificar el trabajo de manera ordenada.</w:t>
      </w:r>
    </w:p>
    <w:p>
      <w:r>
        <w:t xml:space="preserve">La propuesta consiste en establecer un modelo común de planificación que permita organizar las actividades del Departamento sin incrementar la carga administrativa sobre los equipos de desarrollo. La planificación deberá contemplar dos tipos de trabajo claramente diferenciados. Por un lado, las tareas vinculadas al mantenimiento evolutivo y correctivo de sistemas existentes, que requieren una atención continua y capacidad de respuesta frente a incidencias. Por otro, los nuevos desarrollos, que demandan una planificación más estructurada, con objetivos definidos y seguimiento periódico.</w:t>
      </w:r>
    </w:p>
    <w:p>
      <w:r>
        <w:t xml:space="preserve">Para responder adecuadamente a ambas realidades, la Jefatura impulsará un modelo de gestión flexible que combine herramientas de planificación visual para las tareas continuas con ciclos breves de planificación para los proyectos de desarrollo, evitando la aplicación rígida de metodologías que no se adapten al contexto municipal.</w:t>
      </w:r>
    </w:p>
    <w:p>
      <w:r>
        <w:t xml:space="preserve">La responsabilidad de la Jefatura será coordinar este proceso, evaluar periódicamente la capacidad operativa del Departamento, establecer prioridades institucionales y redistribuir recursos cuando las necesidades del servicio así lo requieran. Asimismo, todas las iniciativas deberán registrarse en una herramienta común de seguimiento que permita conocer en todo momento el estado de cada proyecto, los responsables asignados, las tareas pendientes y las dificultades detectadas.</w:t>
      </w:r>
    </w:p>
    <w:p>
      <w:r>
        <w:t xml:space="preserve">La disponibilidad de información centralizada facilitará la toma de decisiones, permitirá identificar sobrecargas de trabajo y brindará una visión integral de la capacidad operativa del Departamento.</w:t>
      </w:r>
    </w:p>
    <w:p>
      <w:r>
        <w:t xml:space="preserve">Con esta medida se espera mejorar la previsibilidad de los proyectos, optimizar la utilización de los recursos existentes y reducir la necesidad de reorganizaciones permanentes derivadas de la falta de planificación.</w:t>
      </w:r>
    </w:p>
    <w:p/>
    <w:p>
      <w:pPr>
        <w:pStyle w:val="Heading2"/>
      </w:pPr>
      <w:r>
        <w:rPr>
          <w:rFonts w:ascii="Arial" w:cs="Arial" w:eastAsia="Arial" w:hAnsi="Arial"/>
          <w:b/>
          <w:bCs/>
          <w:sz w:val="24"/>
          <w:szCs w:val="24"/>
        </w:rPr>
        <w:t xml:space="preserve">5.2 Gestión de requerimientos y priorización institucional</w:t>
      </w:r>
    </w:p>
    <w:p>
      <w:r>
        <w:t xml:space="preserve">Una de las funciones asignadas al Departamento consiste en relevar, analizar y transformar las necesidades de las distintas dependencias municipales en soluciones informáticas que aporten valor a la gestión. Para cumplir adecuadamente esta función resulta imprescindible establecer un procedimiento uniforme para la recepción, análisis y priorización de requerimientos, abarcando también las solicitudes de consultas específicas de información en bases de datos no disponibles directamente en los aplicativos del usuario.</w:t>
      </w:r>
    </w:p>
    <w:p>
      <w:r>
        <w:t xml:space="preserve">Actualmente las solicitudes pueden originarse por diferentes canales y con distintos niveles de definición, lo que dificulta evaluar su alcance, estimar el esfuerzo requerido y establecer prioridades objetivas.</w:t>
      </w:r>
    </w:p>
    <w:p>
      <w:r>
        <w:t xml:space="preserve">Se propone institucionalizar un procedimiento de gestión de requerimientos que permita registrar cada solicitud desde su ingreso, analizar su viabilidad técnica y funcional, determinar el impacto esperado y definir conjuntamente con el área solicitante su prioridad de implementación.</w:t>
      </w:r>
    </w:p>
    <w:p>
      <w:r>
        <w:t xml:space="preserve">La Jefatura tendrá un rol central en este proceso, actuando como articulador entre las necesidades de las áreas usuarias y la capacidad operativa del Departamento. Su función no consistirá únicamente en asignar tareas, sino también en garantizar que los recursos disponibles se orienten hacia aquellas iniciativas que generen mayor beneficio institucional.</w:t>
      </w:r>
    </w:p>
    <w:p>
      <w:r>
        <w:t xml:space="preserve">Durante el análisis de cada requerimiento se verificará, además, la existencia de soluciones similares dentro del ecosistema de aplicaciones municipales, promoviendo la reutilización de componentes y evitando el desarrollo de funcionalidades duplicadas.</w:t>
      </w:r>
    </w:p>
    <w:p>
      <w:r>
        <w:t xml:space="preserve">La incorporación de este procedimiento permitirá mejorar la calidad del relevamiento funcional, optimizar la planificación de los proyectos y fortalecer la relación entre el Departamento y las distintas áreas municipales.</w:t>
      </w:r>
    </w:p>
    <w:p/>
    <w:p>
      <w:pPr>
        <w:pStyle w:val="Heading2"/>
      </w:pPr>
      <w:r>
        <w:rPr>
          <w:rFonts w:ascii="Arial" w:cs="Arial" w:eastAsia="Arial" w:hAnsi="Arial"/>
          <w:b/>
          <w:bCs/>
          <w:sz w:val="24"/>
          <w:szCs w:val="24"/>
        </w:rPr>
        <w:t xml:space="preserve">5.3 Coordinación entre equipos y fortalecimiento de la comunicación interna</w:t>
      </w:r>
    </w:p>
    <w:p>
      <w:r>
        <w:t xml:space="preserve">El Departamento desarrolla sus actividades a través de equipos distribuidos físicamente en distintas dependencias. Si bien esta organización responde a necesidades operativas, también genera dificultades para mantener una comunicación fluida entre los agentes, compartir información sobre los proyectos en curso y coordinar acciones entre los distintos grupos de trabajo.</w:t>
      </w:r>
    </w:p>
    <w:p>
      <w:r>
        <w:t xml:space="preserve">La falta de mecanismos formales de comunicación favorece la aparición de "silos de información", donde el conocimiento sobre determinados sistemas o desarrollos permanece dentro de un grupo reducido de personas. Esta situación dificulta la colaboración entre equipos, incrementa el riesgo de duplicar esfuerzos y limita la capacidad del Departamento para responder de manera coordinada ante nuevas demandas.</w:t>
      </w:r>
    </w:p>
    <w:p>
      <w:r>
        <w:t xml:space="preserve">Con el objetivo de fortalecer el trabajo colaborativo, se propone institucionalizar un esquema permanente de coordinación entre las distintas dependencias del Departamento. La Jefatura será responsable de promover espacios periódicos de intercambio que permitan conocer el estado de los proyectos, identificar dificultades comunes, compartir experiencias y detectar oportunidades de colaboración entre los equipos.</w:t>
      </w:r>
    </w:p>
    <w:p>
      <w:r>
        <w:t xml:space="preserve">Estas reuniones deberán ser breves, con una agenda previamente definida y orientadas exclusivamente a la coordinación operativa, evitando generar instancias burocráticas que resten tiempo al desarrollo de las actividades técnicas.</w:t>
      </w:r>
    </w:p>
    <w:p>
      <w:r>
        <w:t xml:space="preserve">Como complemento, toda la información vinculada a los proyectos deberá mantenerse actualizada en las herramientas institucionales de seguimiento, permitiendo que cualquier integrante del Departamento pueda conocer el estado general de las iniciativas, los responsables asignados y las tareas pendientes.</w:t>
      </w:r>
    </w:p>
    <w:p>
      <w:r>
        <w:t xml:space="preserve">La mejora de la comunicación interna permitirá optimizar la utilización de los recursos disponibles, reducir la duplicación de desarrollos y fortalecer el sentido de pertenencia del equipo, promoviendo una visión compartida de los objetivos institucionales.</w:t>
      </w:r>
    </w:p>
    <w:p/>
    <w:p>
      <w:pPr>
        <w:pStyle w:val="Heading2"/>
      </w:pPr>
      <w:r>
        <w:rPr>
          <w:rFonts w:ascii="Arial" w:cs="Arial" w:eastAsia="Arial" w:hAnsi="Arial"/>
          <w:b/>
          <w:bCs/>
          <w:sz w:val="24"/>
          <w:szCs w:val="24"/>
        </w:rPr>
        <w:t xml:space="preserve">5.4 Gestión del conocimiento y continuidad operativa</w:t>
      </w:r>
    </w:p>
    <w:p>
      <w:r>
        <w:t xml:space="preserve">Uno de los principales riesgos identificados durante el diagnóstico es la concentración del conocimiento técnico y funcional en un número reducido de agentes. La existencia de sistemas cuya operación depende exclusivamente de una persona incrementa significativamente la vulnerabilidad del Departamento frente a licencias prolongadas, cambios de funciones, jubilaciones o cualquier circunstancia que impida la disponibilidad del referente principal.</w:t>
      </w:r>
    </w:p>
    <w:p>
      <w:r>
        <w:t xml:space="preserve">La continuidad de los servicios informáticos constituye una responsabilidad institucional que no puede depender del conocimiento individual de un único agente. Por este motivo, resulta necesario implementar mecanismos que permitan distribuir progresivamente el conocimiento entre los integrantes del equipo y reducir los puntos únicos de falla.</w:t>
      </w:r>
    </w:p>
    <w:p>
      <w:r>
        <w:t xml:space="preserve">Se propone incorporar la figura del Referente Secundario, entendida como un mecanismo de transferencia de conocimiento y no como una modificación de la estructura jerárquica del Departamento. Cada sistema considerado crítico contará con un agente que acompañará al responsable principal en las tareas de análisis, mantenimiento y evolución del aplicativo. Este acompañamiento tendrá como finalidad adquirir conocimiento funcional y técnico suficiente para intervenir ante situaciones de contingencia y colaborar en futuras tareas de desarrollo.</w:t>
      </w:r>
    </w:p>
    <w:p>
      <w:r>
        <w:t xml:space="preserve">La implementación se realizará de manera gradual, priorizando aquellos sistemas cuyo impacto institucional sea mayor y procurando equilibrar la carga de trabajo entre los distintos integrantes del Departamento. El proceso comprenderá actividades de observación, participación progresiva en tareas de mantenimiento, revisión conjunta de desarrollos, elaboración de documentación complementaria y reuniones periódicas de transferencia de conocimiento.</w:t>
      </w:r>
    </w:p>
    <w:p>
      <w:r>
        <w:t xml:space="preserve">La Jefatura deberá supervisar este proceso, definiendo las prioridades, asignando los referentes correspondientes y evaluando periódicamente el grado de cobertura alcanzado sobre los distintos sistemas municipales.</w:t>
      </w:r>
    </w:p>
    <w:p>
      <w:r>
        <w:t xml:space="preserve">La implementación de esta medida permitirá disminuir el riesgo operativo asociado a la dependencia de personas específicas, mejorar la capacidad de respuesta frente a contingencias y favorecer el crecimiento profesional de los integrantes del Departamento mediante una capacitación continua basada en la experiencia práctica. Asimismo, la existencia de referentes secundarios facilitará la redistribución de tareas cuando las necesidades operativas lo requieran, otorgando mayor flexibilidad a la planificación y fortaleciendo la resiliencia organizacional del área.</w:t>
      </w:r>
    </w:p>
    <w:p/>
    <w:p>
      <w:pPr>
        <w:pStyle w:val="Heading2"/>
      </w:pPr>
      <w:r>
        <w:rPr>
          <w:rFonts w:ascii="Arial" w:cs="Arial" w:eastAsia="Arial" w:hAnsi="Arial"/>
          <w:b/>
          <w:bCs/>
          <w:sz w:val="24"/>
          <w:szCs w:val="24"/>
        </w:rPr>
        <w:t xml:space="preserve">5.5 Estandarización del desarrollo, Modelo Único de Datos y Arquitectura Base Institucional</w:t>
      </w:r>
    </w:p>
    <w:p>
      <w:r>
        <w:t xml:space="preserve">La coexistencia de aplicaciones desarrolladas en distintos momentos, utilizando tecnologías, criterios de diseño y convenciones de programación diferentes, constituye una de las principales causas del incremento de la complejidad técnica del ecosistema de sistemas municipales. La ausencia de estándares comunes dificulta la incorporación de nuevos desarrolladores a los proyectos existentes, incrementa los tiempos de mantenimiento y provoca diferencias significativas en la calidad y estructura del software desarrollado.</w:t>
      </w:r>
    </w:p>
    <w:p>
      <w:r>
        <w:t xml:space="preserve">Con el propósito de revertir esta situación, se propone consolidar una Arquitectura Base Institucional que establezca criterios comunes para todos los nuevos desarrollos y para aquellas refactorizaciones que, por su alcance, justifiquen su adopción. La Arquitectura Base deberá contemplar aspectos vinculados con la organización de las soluciones, separación de responsabilidades, acceso a datos, seguridad, manejo de errores, autenticación, registro de eventos, configuración y demás componentes transversales utilizados por las aplicaciones municipales.</w:t>
      </w:r>
    </w:p>
    <w:p>
      <w:r>
        <w:t xml:space="preserve">Como elemento central de esta estandarización, la Jefatura velará por analizar y mantener el Modelo Único de Datos que dé soporte a toda la información municipal sin permitir redundancias, verificando y asegurando la adecuación de todos los aplicativos a dicho modelo relacional unificado.</w:t>
      </w:r>
    </w:p>
    <w:p>
      <w:r>
        <w:t xml:space="preserve">La responsabilidad de la Jefatura consistirá en impulsar su utilización, promover su actualización permanente y evaluar las excepciones que pudieran justificarse por razones técnicas debidamente fundamentadas. La adopción de estándares comunes no deberá interpretarse como una limitación a la innovación tecnológica, sino como un mecanismo para garantizar que la evolución del software municipal se produzca de manera ordenada, sostenible y compatible con la estrategia tecnológica del Municipio.</w:t>
      </w:r>
    </w:p>
    <w:p>
      <w:r>
        <w:t xml:space="preserve">Además de la arquitectura, se elaborarán guías institucionales de buenas prácticas de programación que establezcan criterios mínimos para la escritura de código, nomenclatura, documentación, control de versiones, manejo de excepciones, pruebas y revisión técnica. La existencia de estas pautas permitirá disminuir diferencias entre proyectos, facilitar la rotación de desarrolladores y mejorar la calidad general de las aplicaciones desarrolladas por el Departamento.</w:t>
      </w:r>
    </w:p>
    <w:p/>
    <w:p>
      <w:pPr>
        <w:pStyle w:val="Heading2"/>
      </w:pPr>
      <w:r>
        <w:rPr>
          <w:rFonts w:ascii="Arial" w:cs="Arial" w:eastAsia="Arial" w:hAnsi="Arial"/>
          <w:b/>
          <w:bCs/>
          <w:sz w:val="24"/>
          <w:szCs w:val="24"/>
        </w:rPr>
        <w:t xml:space="preserve">5.6 Gestión de la calidad del software, sitio Web e integración institucional</w:t>
      </w:r>
    </w:p>
    <w:p>
      <w:r>
        <w:t xml:space="preserve">La calidad del software desarrollado por el Departamento no depende únicamente de la capacidad técnica de los desarrolladores, sino también de la existencia de procedimientos que permitan asegurar resultados consistentes, facilitar el mantenimiento futuro y preservar el conocimiento institucional. Asimismo, el Departamento debe intervenir activamente en el diseño e integración del sitio Web oficial de la Municipalidad con los distintos sistemas e iteraciones informáticas municipales.</w:t>
      </w:r>
    </w:p>
    <w:p>
      <w:r>
        <w:t xml:space="preserve">Con el propósito de fortalecer la calidad de los desarrollos y garantizar la continuidad operativa, se propone establecer una política institucional de documentación mínima obligatoria para todos los sistemas desarrollados o modificados por el Departamento. Esta documentación no deberá transformarse en un requisito burocrático, sino en una herramienta de gestión que permita comprender rápidamente el funcionamiento general de cada aplicación y facilite su evolución a lo largo del tiempo.</w:t>
      </w:r>
    </w:p>
    <w:p>
      <w:r>
        <w:t xml:space="preserve">Como criterio mínimo, cada sistema deberá contar con información relativa a:</w:t>
      </w:r>
    </w:p>
    <w:p>
      <w:pPr>
        <w:pStyle w:val="ListParagraph"/>
        <w:numPr>
          <w:ilvl w:val="0"/>
          <w:numId w:val="1"/>
        </w:numPr>
      </w:pPr>
      <w:r>
        <w:t xml:space="preserve">objetivo funcional del sistema;</w:t>
      </w:r>
    </w:p>
    <w:p>
      <w:pPr>
        <w:pStyle w:val="ListParagraph"/>
        <w:numPr>
          <w:ilvl w:val="0"/>
          <w:numId w:val="1"/>
        </w:numPr>
      </w:pPr>
      <w:r>
        <w:t xml:space="preserve">área responsable;</w:t>
      </w:r>
    </w:p>
    <w:p>
      <w:pPr>
        <w:pStyle w:val="ListParagraph"/>
        <w:numPr>
          <w:ilvl w:val="0"/>
          <w:numId w:val="1"/>
        </w:numPr>
      </w:pPr>
      <w:r>
        <w:t xml:space="preserve">responsables técnicos;</w:t>
      </w:r>
    </w:p>
    <w:p>
      <w:pPr>
        <w:pStyle w:val="ListParagraph"/>
        <w:numPr>
          <w:ilvl w:val="0"/>
          <w:numId w:val="1"/>
        </w:numPr>
      </w:pPr>
      <w:r>
        <w:t xml:space="preserve">arquitectura general de la solución;</w:t>
      </w:r>
    </w:p>
    <w:p>
      <w:pPr>
        <w:pStyle w:val="ListParagraph"/>
        <w:numPr>
          <w:ilvl w:val="0"/>
          <w:numId w:val="1"/>
        </w:numPr>
      </w:pPr>
      <w:r>
        <w:t xml:space="preserve">modelo de datos utilizado (sin redundancias);</w:t>
      </w:r>
    </w:p>
    <w:p>
      <w:pPr>
        <w:pStyle w:val="ListParagraph"/>
        <w:numPr>
          <w:ilvl w:val="0"/>
          <w:numId w:val="1"/>
        </w:numPr>
      </w:pPr>
      <w:r>
        <w:t xml:space="preserve">dependencias con otros sistemas y portal Web municipal;</w:t>
      </w:r>
    </w:p>
    <w:p>
      <w:pPr>
        <w:pStyle w:val="ListParagraph"/>
        <w:numPr>
          <w:ilvl w:val="0"/>
          <w:numId w:val="1"/>
        </w:numPr>
      </w:pPr>
      <w:r>
        <w:t xml:space="preserve">procedimientos de instalación y despliegue;</w:t>
      </w:r>
    </w:p>
    <w:p>
      <w:pPr>
        <w:pStyle w:val="ListParagraph"/>
        <w:numPr>
          <w:ilvl w:val="0"/>
          <w:numId w:val="1"/>
        </w:numPr>
      </w:pPr>
      <w:r>
        <w:t xml:space="preserve">mecanismos de autenticación y autorizaciones;</w:t>
      </w:r>
    </w:p>
    <w:p>
      <w:pPr>
        <w:pStyle w:val="ListParagraph"/>
        <w:numPr>
          <w:ilvl w:val="0"/>
          <w:numId w:val="1"/>
        </w:numPr>
      </w:pPr>
      <w:r>
        <w:t xml:space="preserve">interfaces de integración y APIs;</w:t>
      </w:r>
    </w:p>
    <w:p>
      <w:pPr>
        <w:pStyle w:val="ListParagraph"/>
        <w:numPr>
          <w:ilvl w:val="0"/>
          <w:numId w:val="1"/>
        </w:numPr>
      </w:pPr>
      <w:r>
        <w:t xml:space="preserve">historial de cambios relevantes.</w:t>
      </w:r>
    </w:p>
    <w:p>
      <w:r>
        <w:t xml:space="preserve">La Jefatura deberá promover el cumplimiento de estos criterios como parte natural del proceso de desarrollo, incorporando la documentación dentro de las tareas habituales de cada proyecto y verificando periódicamente su actualización.</w:t>
      </w:r>
    </w:p>
    <w:p>
      <w:r>
        <w:t xml:space="preserve">Del mismo modo, se establecerán procedimientos básicos de revisión técnica antes de la puesta en producción de modificaciones relevantes, procurando verificar el cumplimiento de los estándares definidos por el Departamento, la consistencia de las implementaciones y la correcta integración con los sistemas existentes.</w:t>
      </w:r>
    </w:p>
    <w:p>
      <w:r>
        <w:t xml:space="preserve">Estas acciones permitirán mejorar la calidad del software desarrollado, facilitar el mantenimiento evolutivo y preservar el conocimiento técnico generado por el Departamento, reduciendo los riesgos asociados a la rotación del personal y a la evolución tecnológica de los sistemas.</w:t>
      </w:r>
    </w:p>
    <w:p/>
    <w:p>
      <w:pPr>
        <w:pStyle w:val="Heading2"/>
      </w:pPr>
      <w:r>
        <w:rPr>
          <w:rFonts w:ascii="Arial" w:cs="Arial" w:eastAsia="Arial" w:hAnsi="Arial"/>
          <w:b/>
          <w:bCs/>
          <w:sz w:val="24"/>
          <w:szCs w:val="24"/>
        </w:rPr>
        <w:t xml:space="preserve">5.7 Gobierno técnico de proveedores externos y elaboración de pliegos</w:t>
      </w:r>
    </w:p>
    <w:p>
      <w:r>
        <w:t xml:space="preserve">Las funciones asignadas al Departamento comprenden no sólo el desarrollo interno de sistemas informáticos, sino también la participación activa en aquellos proyectos ejecutados por proveedores externos contratados por la Municipalidad. En estos casos, la responsabilidad del Departamento trasciende el seguimiento administrativo de los contratos, comprendiendo la intervención en la definición de los requerimientos funcionales, de implantación y contractuales en los pliegos de licitación, la verificación técnica de las soluciones desarrolladas y la protección del patrimonio tecnológico institucional.</w:t>
      </w:r>
    </w:p>
    <w:p>
      <w:r>
        <w:t xml:space="preserve">La contratación de un proveedor externo no implica delegar la responsabilidad sobre la calidad técnica del software incorporado al ecosistema municipal. Por el contrario, corresponde al Departamento ejercer un rol de conducción técnica que asegure que las soluciones adquiridas respondan a los estándares definidos por la organización y puedan mantenerse adecuadamente durante todo su ciclo de vida.</w:t>
      </w:r>
    </w:p>
    <w:p>
      <w:r>
        <w:t xml:space="preserve">En este marco, se propone institucionalizar un procedimiento de Gobierno Técnico de Proveedores que abarque todas las etapas del proceso de contratación e implementación. Durante la elaboración de especificaciones técnicas y pliegos de contratación, el Departamento participará en la definición de los requerimientos funcionales, técnicos y contractuales necesarios para garantizar que los productos adquiridos resulten compatibles con la arquitectura tecnológica municipal.</w:t>
      </w:r>
    </w:p>
    <w:p>
      <w:r>
        <w:t xml:space="preserve">Durante la etapa de desarrollo se promoverán instancias periódicas de seguimiento técnico que permitan verificar el avance de los trabajos, detectar tempranamente desvíos respecto de las especificaciones acordadas y asegurar el cumplimiento de los estándares definidos por el Departamento.</w:t>
      </w:r>
    </w:p>
    <w:p>
      <w:r>
        <w:t xml:space="preserve">Finalmente, previo a la recepción definitiva de cualquier sistema desarrollado por terceros, deberá verificarse el cumplimiento de un conjunto mínimo de condiciones técnicas, entre ellas:</w:t>
      </w:r>
    </w:p>
    <w:p>
      <w:pPr>
        <w:pStyle w:val="ListParagraph"/>
        <w:numPr>
          <w:ilvl w:val="0"/>
          <w:numId w:val="1"/>
        </w:numPr>
      </w:pPr>
      <w:r>
        <w:t xml:space="preserve">entrega completa del código fuente;</w:t>
      </w:r>
    </w:p>
    <w:p>
      <w:pPr>
        <w:pStyle w:val="ListParagraph"/>
        <w:numPr>
          <w:ilvl w:val="0"/>
          <w:numId w:val="1"/>
        </w:numPr>
      </w:pPr>
      <w:r>
        <w:t xml:space="preserve">documentación técnica actualizada;</w:t>
      </w:r>
    </w:p>
    <w:p>
      <w:pPr>
        <w:pStyle w:val="ListParagraph"/>
        <w:numPr>
          <w:ilvl w:val="0"/>
          <w:numId w:val="1"/>
        </w:numPr>
      </w:pPr>
      <w:r>
        <w:t xml:space="preserve">modelos de datos;</w:t>
      </w:r>
    </w:p>
    <w:p>
      <w:pPr>
        <w:pStyle w:val="ListParagraph"/>
        <w:numPr>
          <w:ilvl w:val="0"/>
          <w:numId w:val="1"/>
        </w:numPr>
      </w:pPr>
      <w:r>
        <w:t xml:space="preserve">manuales de instalación y administración;</w:t>
      </w:r>
    </w:p>
    <w:p>
      <w:pPr>
        <w:pStyle w:val="ListParagraph"/>
        <w:numPr>
          <w:ilvl w:val="0"/>
          <w:numId w:val="1"/>
        </w:numPr>
      </w:pPr>
      <w:r>
        <w:t xml:space="preserve">manuales de usuario cuando correspondan;</w:t>
      </w:r>
    </w:p>
    <w:p>
      <w:pPr>
        <w:pStyle w:val="ListParagraph"/>
        <w:numPr>
          <w:ilvl w:val="0"/>
          <w:numId w:val="1"/>
        </w:numPr>
      </w:pPr>
      <w:r>
        <w:t xml:space="preserve">procedimientos de despliegue;</w:t>
      </w:r>
    </w:p>
    <w:p>
      <w:pPr>
        <w:pStyle w:val="ListParagraph"/>
        <w:numPr>
          <w:ilvl w:val="0"/>
          <w:numId w:val="1"/>
        </w:numPr>
      </w:pPr>
      <w:r>
        <w:t xml:space="preserve">evidencias de pruebas realizadas;</w:t>
      </w:r>
    </w:p>
    <w:p>
      <w:pPr>
        <w:pStyle w:val="ListParagraph"/>
        <w:numPr>
          <w:ilvl w:val="0"/>
          <w:numId w:val="1"/>
        </w:numPr>
      </w:pPr>
      <w:r>
        <w:t xml:space="preserve">cumplimiento de estándares de seguridad e integración.</w:t>
      </w:r>
    </w:p>
    <w:p>
      <w:r>
        <w:t xml:space="preserve">La recepción técnica favorable constituirá un requisito previo para la aceptación definitiva de los desarrollos contratados. Asimismo, cuando los contratos contemplen servicios de mantenimiento, la Jefatura coordinará la relación técnica entre las áreas usuarias y los proveedores, supervisando el cumplimiento de los niveles de servicio acordados, administrando la gestión de incidencias y verificando la calidad de las soluciones implementadas.</w:t>
      </w:r>
    </w:p>
    <w:p>
      <w:r>
        <w:t xml:space="preserve">La aplicación de este procedimiento permitirá fortalecer el control institucional sobre las soluciones desarrolladas por terceros, garantizar la disponibilidad futura del conocimiento técnico y preservar la capacidad del Municipio para evolucionar sus sistemas independientemente del proveedor que haya intervenido en su desarrollo.</w:t>
      </w:r>
    </w:p>
    <w:p/>
    <w:p>
      <w:pPr>
        <w:pStyle w:val="Heading2"/>
      </w:pPr>
      <w:r>
        <w:rPr>
          <w:rFonts w:ascii="Arial" w:cs="Arial" w:eastAsia="Arial" w:hAnsi="Arial"/>
          <w:b/>
          <w:bCs/>
          <w:sz w:val="24"/>
          <w:szCs w:val="24"/>
        </w:rPr>
        <w:t xml:space="preserve">5.8 Innovación tecnológica y utilización responsable de Inteligencia Artificial</w:t>
      </w:r>
    </w:p>
    <w:p>
      <w:r>
        <w:t xml:space="preserve">La innovación constituye una función permanente del Departamento y debe orientarse a mejorar la capacidad institucional para responder a las necesidades presentes y futuras de la Administración Municipal. Sin embargo, la incorporación de nuevas tecnologías debe realizarse mediante un proceso de evaluación técnica que considere no sólo las ventajas potenciales de cada herramienta, sino también su impacto sobre la organización, la disponibilidad de recursos para su mantenimiento y su compatibilidad con la estrategia tecnológica del Municipio.</w:t>
      </w:r>
    </w:p>
    <w:p>
      <w:r>
        <w:t xml:space="preserve">En consecuencia, la innovación no deberá entenderse como la adopción permanente de nuevas plataformas o lenguajes de programación, sino como la capacidad del Departamento para identificar oportunidades de mejora que generen beneficios concretos para la gestión pública.</w:t>
      </w:r>
    </w:p>
    <w:p>
      <w:r>
        <w:t xml:space="preserve">Dentro de este contexto, las herramientas basadas en Inteligencia Artificial representan una oportunidad significativa para incrementar la productividad de los equipos de desarrollo, reducir tiempos dedicados a tareas repetitivas y facilitar actividades de documentación, análisis y asistencia en programación. Su incorporación deberá realizarse de manera gradual y bajo criterios institucionales claramente definidos.</w:t>
      </w:r>
    </w:p>
    <w:p>
      <w:r>
        <w:t xml:space="preserve">En una primera etapa se promoverá la capacitación del personal en el uso responsable de estas herramientas, estableciendo lineamientos que garanticen la protección de la información municipal y eviten la exposición de datos sensibles o credenciales institucionales en servicios externos. Asimismo, se promoverá que toda información generada mediante herramientas de Inteligencia Artificial sea revisada y validada por los profesionales responsables antes de su incorporación a los sistemas municipales, manteniendo siempre el criterio técnico y la responsabilidad profesional como elementos centrales del proceso de desarrollo.</w:t>
      </w:r>
    </w:p>
    <w:p>
      <w:r>
        <w:t xml:space="preserve">La experiencia obtenida permitirá evaluar, en una etapa posterior, la conveniencia de incorporar soluciones corporativas administradas por el Municipio que ofrezcan mayores garantías de seguridad, privacidad y administración centralizada.</w:t>
      </w:r>
    </w:p>
    <w:p>
      <w:r>
        <w:t xml:space="preserve">Paralelamente, la Jefatura impulsará una evaluación continua de nuevas tecnologías, metodologías y herramientas de desarrollo, promoviendo su adopción únicamente cuando se encuentren debidamente justificadas desde el punto de vista técnico, organizacional y económico. De esta manera, la innovación dejará de depender de iniciativas individuales para convertirse en una política institucional planificada, alineada con las necesidades estratégicas de la Municipalidad y orientada a fortalecer la capacidad del Departamento para brindar soluciones tecnológicas de calidad.</w:t>
      </w:r>
    </w:p>
    <w:p/>
    <w:p>
      <w:pPr>
        <w:pStyle w:val="Heading1"/>
      </w:pPr>
      <w:r>
        <w:rPr>
          <w:rFonts w:ascii="Arial" w:cs="Arial" w:eastAsia="Arial" w:hAnsi="Arial"/>
          <w:b/>
          <w:bCs/>
          <w:sz w:val="28"/>
          <w:szCs w:val="28"/>
        </w:rPr>
        <w:t xml:space="preserve">6. EJES ESTRATÉGICOS DE LA GESTIÓN</w:t>
      </w:r>
    </w:p>
    <w:p>
      <w:pPr>
        <w:pStyle w:val="Heading2"/>
      </w:pPr>
      <w:r>
        <w:rPr>
          <w:rFonts w:ascii="Arial" w:cs="Arial" w:eastAsia="Arial" w:hAnsi="Arial"/>
          <w:b/>
          <w:bCs/>
          <w:sz w:val="24"/>
          <w:szCs w:val="24"/>
        </w:rPr>
        <w:t xml:space="preserve">EJE I: Gestión del Capital Humano y Desarrollo del Equipo</w:t>
      </w:r>
    </w:p>
    <w:p>
      <w:r>
        <w:t xml:space="preserve">Las personas constituyen el principal activo del Departamento. La función de la Jefatura será generar un entorno de trabajo que favorezca la colaboración y el crecimiento profesional.</w:t>
      </w:r>
    </w:p>
    <w:p>
      <w:pPr>
        <w:pStyle w:val="ListParagraph"/>
        <w:numPr>
          <w:ilvl w:val="0"/>
          <w:numId w:val="1"/>
        </w:numPr>
      </w:pPr>
      <w:r>
        <w:rPr>
          <w:b/>
          <w:bCs/>
        </w:rPr>
        <w:t xml:space="preserve">6.1 Comunicación y coordinación permanente: </w:t>
      </w:r>
      <w:r>
        <w:t xml:space="preserve">Reuniones breves de coordinación transversal entre ambas sedes físicas y uso de herramientas comunes para mantener la visibilidad del trabajo.</w:t>
      </w:r>
    </w:p>
    <w:p>
      <w:pPr>
        <w:pStyle w:val="ListParagraph"/>
        <w:numPr>
          <w:ilvl w:val="0"/>
          <w:numId w:val="1"/>
        </w:numPr>
      </w:pPr>
      <w:r>
        <w:rPr>
          <w:b/>
          <w:bCs/>
        </w:rPr>
        <w:t xml:space="preserve">6.2 Desarrollo de competencias y Matriz de Competencias: </w:t>
      </w:r>
      <w:r>
        <w:t xml:space="preserve">Relevamiento integral del personal para construir una Matriz de Competencias que distinga entre capacidad técnica y conocimiento funcional del trámite municipal, planificando capacitaciones en servicio.</w:t>
      </w:r>
    </w:p>
    <w:p>
      <w:pPr>
        <w:pStyle w:val="ListParagraph"/>
        <w:numPr>
          <w:ilvl w:val="0"/>
          <w:numId w:val="1"/>
        </w:numPr>
      </w:pPr>
      <w:r>
        <w:rPr>
          <w:b/>
          <w:bCs/>
        </w:rPr>
        <w:t xml:space="preserve">6.3 Transferencia del conocimiento (Referentes Secundarios): </w:t>
      </w:r>
      <w:r>
        <w:t xml:space="preserve">Designación de un Referente Secundario en sistemas críticos que acompañe al responsable principal (shadowing), garantizando continuidad operativa sin tocar el escalafón.</w:t>
      </w:r>
    </w:p>
    <w:p>
      <w:pPr>
        <w:pStyle w:val="ListParagraph"/>
        <w:numPr>
          <w:ilvl w:val="0"/>
          <w:numId w:val="1"/>
        </w:numPr>
      </w:pPr>
      <w:r>
        <w:rPr>
          <w:b/>
          <w:bCs/>
        </w:rPr>
        <w:t xml:space="preserve">6.4 Cultura de trabajo colaborativo: </w:t>
      </w:r>
      <w:r>
        <w:t xml:space="preserve">Espacios de participación para que los desarrolladores propongan mejoras operativas y técnicas.</w:t>
      </w:r>
    </w:p>
    <w:p/>
    <w:p>
      <w:pPr>
        <w:pStyle w:val="Heading2"/>
      </w:pPr>
      <w:r>
        <w:rPr>
          <w:rFonts w:ascii="Arial" w:cs="Arial" w:eastAsia="Arial" w:hAnsi="Arial"/>
          <w:b/>
          <w:bCs/>
          <w:sz w:val="24"/>
          <w:szCs w:val="24"/>
        </w:rPr>
        <w:t xml:space="preserve">EJE II: Gestión del Conocimiento y Organización del Trabajo</w:t>
      </w:r>
    </w:p>
    <w:p>
      <w:pPr>
        <w:pStyle w:val="ListParagraph"/>
        <w:numPr>
          <w:ilvl w:val="0"/>
          <w:numId w:val="1"/>
        </w:numPr>
      </w:pPr>
      <w:r>
        <w:rPr>
          <w:b/>
          <w:bCs/>
        </w:rPr>
        <w:t xml:space="preserve">6.5 Documentación Mínima y Útil: </w:t>
      </w:r>
      <w:r>
        <w:t xml:space="preserve">Definición de un estándar de documentación funcional, técnica y de despliegue proporcional a la criticidad del sistema, integrado al proceso normal de entrega (Definition of Done).</w:t>
      </w:r>
    </w:p>
    <w:p>
      <w:pPr>
        <w:pStyle w:val="ListParagraph"/>
        <w:numPr>
          <w:ilvl w:val="0"/>
          <w:numId w:val="1"/>
        </w:numPr>
      </w:pPr>
      <w:r>
        <w:rPr>
          <w:b/>
          <w:bCs/>
        </w:rPr>
        <w:t xml:space="preserve">6.6 Arquitectura Base Institucional: </w:t>
      </w:r>
      <w:r>
        <w:t xml:space="preserve">Institucionalización obligatoria de un template de arquitectura en capas (APIs, acceso a datos, manejo de errores, seguridad) para todos los desarrollos nuevos y mantenimiento del Modelo Único de Datos.</w:t>
      </w:r>
    </w:p>
    <w:p>
      <w:pPr>
        <w:pStyle w:val="ListParagraph"/>
        <w:numPr>
          <w:ilvl w:val="0"/>
          <w:numId w:val="1"/>
        </w:numPr>
      </w:pPr>
      <w:r>
        <w:rPr>
          <w:b/>
          <w:bCs/>
        </w:rPr>
        <w:t xml:space="preserve">6.7 Cartera Única de Proyectos en Redmine: </w:t>
      </w:r>
      <w:r>
        <w:t xml:space="preserve">Registro centralizado de todas las solicitudes, desarrollos y mantenimientos para visibilizar la carga real de trabajo y priorizar estratégicamente.</w:t>
      </w:r>
    </w:p>
    <w:p/>
    <w:p>
      <w:pPr>
        <w:pStyle w:val="Heading2"/>
      </w:pPr>
      <w:r>
        <w:rPr>
          <w:rFonts w:ascii="Arial" w:cs="Arial" w:eastAsia="Arial" w:hAnsi="Arial"/>
          <w:b/>
          <w:bCs/>
          <w:sz w:val="24"/>
          <w:szCs w:val="24"/>
        </w:rPr>
        <w:t xml:space="preserve">EJE III: Gobierno Técnico y Calidad del Software</w:t>
      </w:r>
    </w:p>
    <w:p>
      <w:r>
        <w:rPr>
          <w:i/>
          <w:iCs/>
        </w:rPr>
        <w:t xml:space="preserve">La responsabilidad de la Jefatura no consiste únicamente en coordinar personas, sino también en establecer el marco técnico que permita que los distintos equipos desarrollen soluciones homogéneas, seguras y sostenibles. El gobierno técnico constituye el conjunto de políticas, estándares y procedimientos que aseguran que las decisiones tecnológicas respondan a criterios institucionales y no exclusivamente a preferencias individuales.</w:t>
      </w:r>
    </w:p>
    <w:p>
      <w:pPr>
        <w:pStyle w:val="ListParagraph"/>
        <w:numPr>
          <w:ilvl w:val="0"/>
          <w:numId w:val="1"/>
        </w:numPr>
      </w:pPr>
      <w:r>
        <w:rPr>
          <w:b/>
          <w:bCs/>
        </w:rPr>
        <w:t xml:space="preserve">6.8 Estandarización del ciclo de desarrollo: </w:t>
      </w:r>
      <w:r>
        <w:t xml:space="preserve">Definición clara de etapas: relevamiento, análisis, estimación, desarrollo, testing, implementación y mantenimiento.</w:t>
      </w:r>
    </w:p>
    <w:p>
      <w:pPr>
        <w:pStyle w:val="ListParagraph"/>
        <w:numPr>
          <w:ilvl w:val="0"/>
          <w:numId w:val="1"/>
        </w:numPr>
      </w:pPr>
      <w:r>
        <w:rPr>
          <w:b/>
          <w:bCs/>
        </w:rPr>
        <w:t xml:space="preserve">6.9 Estándares de codificación y buenas prácticas: </w:t>
      </w:r>
      <w:r>
        <w:t xml:space="preserve">Guías institucionales de estilo de código, convenciones de nomenclatura y estructura de proyectos.</w:t>
      </w:r>
    </w:p>
    <w:p>
      <w:pPr>
        <w:pStyle w:val="ListParagraph"/>
        <w:numPr>
          <w:ilvl w:val="0"/>
          <w:numId w:val="1"/>
        </w:numPr>
      </w:pPr>
      <w:r>
        <w:rPr>
          <w:b/>
          <w:bCs/>
        </w:rPr>
        <w:t xml:space="preserve">6.10 Calidad incorporada y revisión entre pares: </w:t>
      </w:r>
      <w:r>
        <w:t xml:space="preserve">Revisiones cruzadas (peer reviews) en GitLab para cambios críticos y validaciones funcionales antes de producción.</w:t>
      </w:r>
    </w:p>
    <w:p>
      <w:pPr>
        <w:pStyle w:val="ListParagraph"/>
        <w:numPr>
          <w:ilvl w:val="0"/>
          <w:numId w:val="1"/>
        </w:numPr>
      </w:pPr>
      <w:r>
        <w:rPr>
          <w:b/>
          <w:bCs/>
        </w:rPr>
        <w:t xml:space="preserve">6.11 Seguridad desde el análisis (Security by Design): </w:t>
      </w:r>
      <w:r>
        <w:t xml:space="preserve">Protección de datos, autenticación, gestión de permisos y tratamiento seguro de credenciales.</w:t>
      </w:r>
    </w:p>
    <w:p/>
    <w:p>
      <w:pPr>
        <w:pStyle w:val="Heading2"/>
      </w:pPr>
      <w:r>
        <w:rPr>
          <w:rFonts w:ascii="Arial" w:cs="Arial" w:eastAsia="Arial" w:hAnsi="Arial"/>
          <w:b/>
          <w:bCs/>
          <w:sz w:val="24"/>
          <w:szCs w:val="24"/>
        </w:rPr>
        <w:t xml:space="preserve">EJE IV: Gestión de Proyectos, Articulación Institucional y Control de Proveedores</w:t>
      </w:r>
    </w:p>
    <w:p>
      <w:pPr>
        <w:pStyle w:val="ListParagraph"/>
        <w:numPr>
          <w:ilvl w:val="0"/>
          <w:numId w:val="1"/>
        </w:numPr>
      </w:pPr>
      <w:r>
        <w:rPr>
          <w:b/>
          <w:bCs/>
        </w:rPr>
        <w:t xml:space="preserve">6.12 Relevamiento integral y viabilidad: </w:t>
      </w:r>
      <w:r>
        <w:t xml:space="preserve">Análisis de factibilidad técnica e impacto institucional antes de autorizar un desarrollo.</w:t>
      </w:r>
    </w:p>
    <w:p>
      <w:pPr>
        <w:pStyle w:val="ListParagraph"/>
        <w:numPr>
          <w:ilvl w:val="0"/>
          <w:numId w:val="1"/>
        </w:numPr>
      </w:pPr>
      <w:r>
        <w:rPr>
          <w:b/>
          <w:bCs/>
        </w:rPr>
        <w:t xml:space="preserve">6.13 Priorización objetiva de demandas: </w:t>
      </w:r>
      <w:r>
        <w:t xml:space="preserve">Asignación de recursos basada en criticidad, urgencia, normativas y capacidad real.</w:t>
      </w:r>
    </w:p>
    <w:p>
      <w:pPr>
        <w:pStyle w:val="ListParagraph"/>
        <w:numPr>
          <w:ilvl w:val="0"/>
          <w:numId w:val="1"/>
        </w:numPr>
      </w:pPr>
      <w:r>
        <w:rPr>
          <w:b/>
          <w:bCs/>
        </w:rPr>
        <w:t xml:space="preserve">6.14 Gobierno técnico de proveedores externos: </w:t>
      </w:r>
      <w:r>
        <w:t xml:space="preserve">Auditoría de entregables, participación en pliegos, exigencia de código fuente, documentación y pruebas de recepción validadas por el Municipio.</w:t>
      </w:r>
    </w:p>
    <w:p>
      <w:pPr>
        <w:pStyle w:val="ListParagraph"/>
        <w:numPr>
          <w:ilvl w:val="0"/>
          <w:numId w:val="1"/>
        </w:numPr>
      </w:pPr>
      <w:r>
        <w:rPr>
          <w:b/>
          <w:bCs/>
        </w:rPr>
        <w:t xml:space="preserve">6.15 Gestión de la relación con las áreas usuarias: </w:t>
      </w:r>
      <w:r>
        <w:t xml:space="preserve">Fortalecimiento del rol de la Jefatura como nexo institucional con las Secretarías solicitantes mediante entrevistas funcionales, priorización conjunta, validaciones parciales y gestión compartida de expectativas.</w:t>
      </w:r>
    </w:p>
    <w:p/>
    <w:p>
      <w:pPr>
        <w:pStyle w:val="Heading2"/>
      </w:pPr>
      <w:r>
        <w:rPr>
          <w:rFonts w:ascii="Arial" w:cs="Arial" w:eastAsia="Arial" w:hAnsi="Arial"/>
          <w:b/>
          <w:bCs/>
          <w:sz w:val="24"/>
          <w:szCs w:val="24"/>
        </w:rPr>
        <w:t xml:space="preserve">EJE V: Innovación Tecnológica Responsable e Inteligencia Artificial</w:t>
      </w:r>
    </w:p>
    <w:p>
      <w:pPr>
        <w:pStyle w:val="ListParagraph"/>
        <w:numPr>
          <w:ilvl w:val="0"/>
          <w:numId w:val="1"/>
        </w:numPr>
      </w:pPr>
      <w:r>
        <w:rPr>
          <w:b/>
          <w:bCs/>
        </w:rPr>
        <w:t xml:space="preserve">6.16 Pautas de seguridad para asistentes de IA: </w:t>
      </w:r>
      <w:r>
        <w:t xml:space="preserve">Guía de uso responsable de herramientas asistidas por IA como apoyo a la programación y documentación, prohibiendo estrictamente la carga de credenciales, claves de bases de datos o datos personales de ciudadanos en plataformas públicas.</w:t>
      </w:r>
    </w:p>
    <w:p>
      <w:pPr>
        <w:pStyle w:val="ListParagraph"/>
        <w:numPr>
          <w:ilvl w:val="0"/>
          <w:numId w:val="1"/>
        </w:numPr>
      </w:pPr>
      <w:r>
        <w:rPr>
          <w:b/>
          <w:bCs/>
        </w:rPr>
        <w:t xml:space="preserve">6.17 Contenerización y modernización progresiva: </w:t>
      </w:r>
      <w:r>
        <w:t xml:space="preserve">Introducción gradual de paquetes estandarizados (Docker) en sinergia con el área de Infraestructura/Redes para simplificar los despliegues.</w:t>
      </w:r>
    </w:p>
    <w:p>
      <w:pPr>
        <w:pStyle w:val="ListParagraph"/>
        <w:numPr>
          <w:ilvl w:val="0"/>
          <w:numId w:val="1"/>
        </w:numPr>
      </w:pPr>
      <w:r>
        <w:rPr>
          <w:b/>
          <w:bCs/>
        </w:rPr>
        <w:t xml:space="preserve">6.18 Evaluación de licencias corporativas e innovación: </w:t>
      </w:r>
      <w:r>
        <w:t xml:space="preserve">Análisis fundamentado de la incorporación futura de herramientas avanzadas según el valor real aportado al Municipio.</w:t>
      </w:r>
    </w:p>
    <w:p/>
    <w:p>
      <w:pPr>
        <w:pStyle w:val="Heading1"/>
      </w:pPr>
      <w:r>
        <w:rPr>
          <w:rFonts w:ascii="Arial" w:cs="Arial" w:eastAsia="Arial" w:hAnsi="Arial"/>
          <w:b/>
          <w:bCs/>
          <w:sz w:val="28"/>
          <w:szCs w:val="28"/>
        </w:rPr>
        <w:t xml:space="preserve">7. PROPUESTA DE MEJORA Y OPTIMIZACIÓN DE RECURSOS</w:t>
      </w:r>
    </w:p>
    <w:p>
      <w:r>
        <w:rPr>
          <w:i/>
          <w:iCs/>
        </w:rPr>
        <w:t xml:space="preserve">La primera y principal responsabilidad de una Jefatura de Departamento consiste en optimizar los recursos existentes antes de requerir nuevas incorporaciones presupuestarias. Toda la propuesta de trabajo se sustenta en la reorganización de las tareas, la mejora de los procedimientos y el fortalecimiento de la coordinación interna, ejecutando el plan al 100% con la infraestructura y el capital humano actualmente disponibles ($0 costo presupuestario adicional).</w:t>
      </w:r>
    </w:p>
    <w:p>
      <w:pPr>
        <w:pStyle w:val="Heading2"/>
      </w:pPr>
      <w:r>
        <w:rPr>
          <w:rFonts w:ascii="Arial" w:cs="Arial" w:eastAsia="Arial" w:hAnsi="Arial"/>
          <w:b/>
          <w:bCs/>
          <w:sz w:val="24"/>
          <w:szCs w:val="24"/>
        </w:rPr>
        <w:t xml:space="preserve">7.1 Ejecución del Plan con Recursos Actuales (Escenario Real - Costo $0)</w:t>
      </w:r>
    </w:p>
    <w:p>
      <w:r>
        <w:rPr>
          <w:b/>
          <w:bCs/>
        </w:rPr>
        <w:t xml:space="preserve">1. Liderazgo Híbrido: </w:t>
      </w:r>
      <w:r>
        <w:t xml:space="preserve">Jefatura como Scrum Master Global (filtro de cargas entre oficinas) y Gestor.</w:t>
      </w:r>
    </w:p>
    <w:p>
      <w:r>
        <w:rPr>
          <w:b/>
          <w:bCs/>
        </w:rPr>
        <w:t xml:space="preserve">2. Mitigación de Puntos Únicos de Falla: </w:t>
      </w:r>
      <w:r>
        <w:t xml:space="preserve">Asignación de Referentes Secundarios en sistemas críticos.</w:t>
      </w:r>
    </w:p>
    <w:p>
      <w:r>
        <w:rPr>
          <w:b/>
          <w:bCs/>
        </w:rPr>
        <w:t xml:space="preserve">3. Estandarización Obligatoria: </w:t>
      </w:r>
      <w:r>
        <w:t xml:space="preserve">Uso del Template de Arquitectura Base municipal (Congelamiento Legacy) y Modelo Único de Datos.</w:t>
      </w:r>
    </w:p>
    <w:p>
      <w:r>
        <w:rPr>
          <w:b/>
          <w:bCs/>
        </w:rPr>
        <w:t xml:space="preserve">4. Gobernanza de Proveedores: </w:t>
      </w:r>
      <w:r>
        <w:t xml:space="preserve">Exigencia de código fuente, manuales y pruebas de recepción antes de la aceptación.</w:t>
      </w:r>
    </w:p>
    <w:p>
      <w:r>
        <w:rPr>
          <w:b/>
          <w:bCs/>
        </w:rPr>
        <w:t xml:space="preserve">5. Uso Seguro de IA: </w:t>
      </w:r>
      <w:r>
        <w:t xml:space="preserve">Protocolo de resguardo de datos sensibles en asistentes de código.</w:t>
      </w:r>
    </w:p>
    <w:p/>
    <w:p>
      <w:pPr>
        <w:pStyle w:val="Heading2"/>
      </w:pPr>
      <w:r>
        <w:rPr>
          <w:rFonts w:ascii="Arial" w:cs="Arial" w:eastAsia="Arial" w:hAnsi="Arial"/>
          <w:b/>
          <w:bCs/>
          <w:sz w:val="24"/>
          <w:szCs w:val="24"/>
        </w:rPr>
        <w:t xml:space="preserve">7.2 Proyección Futura de Mediano/Largo Plazo (Incorporación Eventual de Recursos)</w:t>
      </w:r>
    </w:p>
    <w:p>
      <w:r>
        <w:t xml:space="preserve">Solo para el caso en que las autoridades decidan en el futuro destinar partidas específicas de inversión tecnológica, el Departamento deja proyectadas las siguientes líneas de evolución suplementaria, las cuales no condicionan el cumplimiento de los objetivos centrales del Plan:</w:t>
      </w:r>
    </w:p>
    <w:p>
      <w:r>
        <w:rPr>
          <w:b/>
          <w:bCs/>
        </w:rPr>
        <w:t xml:space="preserve">1. Licencias Corporativas Oficiales de IA: </w:t>
      </w:r>
      <w:r>
        <w:t xml:space="preserve">Adquisición de licencias para IDEs en entornos privados institucionales.</w:t>
      </w:r>
    </w:p>
    <w:p>
      <w:r>
        <w:rPr>
          <w:b/>
          <w:bCs/>
        </w:rPr>
        <w:t xml:space="preserve">2. Plataforma de Análisis Estático de Calidad: </w:t>
      </w:r>
      <w:r>
        <w:t xml:space="preserve">Herramientas automatizadas (ej. SonarQube) para auditar deuda técnica y seguridad.</w:t>
      </w:r>
    </w:p>
    <w:p>
      <w:r>
        <w:rPr>
          <w:b/>
          <w:bCs/>
        </w:rPr>
        <w:t xml:space="preserve">3. Contenerización e Infraestructura: </w:t>
      </w:r>
      <w:r>
        <w:t xml:space="preserve">Proyección presupuestaria para migración a contenedores Docker.</w:t>
      </w:r>
    </w:p>
    <w:p>
      <w:r>
        <w:rPr>
          <w:b/>
          <w:bCs/>
        </w:rPr>
        <w:t xml:space="preserve">4. Capacitación Formal Externa: </w:t>
      </w:r>
      <w:r>
        <w:t xml:space="preserve">Cursos profesionales en Clean Architecture, APIs y Microservicios.</w:t>
      </w:r>
    </w:p>
    <w:p>
      <w:r>
        <w:rPr>
          <w:b/>
          <w:bCs/>
        </w:rPr>
        <w:t xml:space="preserve">5. Equipamiento para Trabajo Colaborativo: </w:t>
      </w:r>
      <w:r>
        <w:t xml:space="preserve">Provisión de webcams y auriculares con micrófono para puestos de trabajo.</w:t>
      </w:r>
    </w:p>
    <w:p/>
    <w:p>
      <w:pPr>
        <w:pStyle w:val="Heading1"/>
      </w:pPr>
      <w:r>
        <w:rPr>
          <w:rFonts w:ascii="Arial" w:cs="Arial" w:eastAsia="Arial" w:hAnsi="Arial"/>
          <w:b/>
          <w:bCs/>
          <w:sz w:val="28"/>
          <w:szCs w:val="28"/>
        </w:rPr>
        <w:t xml:space="preserve">8. ESTRATEGIA DE IMPLEMENTACIÓN Y ROADMAP POR ETAPAS</w:t>
      </w:r>
    </w:p>
    <w:p>
      <w:pPr>
        <w:pStyle w:val="Heading2"/>
      </w:pPr>
      <w:r>
        <w:rPr>
          <w:rFonts w:ascii="Arial" w:cs="Arial" w:eastAsia="Arial" w:hAnsi="Arial"/>
          <w:b/>
          <w:bCs/>
          <w:sz w:val="24"/>
          <w:szCs w:val="24"/>
        </w:rPr>
        <w:t xml:space="preserve">8.1 Fases de la Hoja de Ruta Ágil</w:t>
      </w:r>
    </w:p>
    <w:p>
      <w:pPr>
        <w:pStyle w:val="ListParagraph"/>
        <w:numPr>
          <w:ilvl w:val="0"/>
          <w:numId w:val="1"/>
        </w:numPr>
      </w:pPr>
      <w:r>
        <w:rPr>
          <w:b/>
          <w:bCs/>
        </w:rPr>
        <w:t xml:space="preserve">Etapa I – Conocer y Ordenar (Sprints 1 a 4): </w:t>
      </w:r>
      <w:r>
        <w:t xml:space="preserve">Relevamiento de competencias, inventario de sistemas, conformación de la Cartera Única en Redmine y asignación de Referentes Secundarios.</w:t>
      </w:r>
    </w:p>
    <w:p>
      <w:pPr>
        <w:pStyle w:val="ListParagraph"/>
        <w:numPr>
          <w:ilvl w:val="0"/>
          <w:numId w:val="1"/>
        </w:numPr>
      </w:pPr>
      <w:r>
        <w:rPr>
          <w:b/>
          <w:bCs/>
        </w:rPr>
        <w:t xml:space="preserve">Etapa II – Integrar y Estandarizar (Sprints 5 a 12): </w:t>
      </w:r>
      <w:r>
        <w:t xml:space="preserve">Reuniones transversales inter-oficinas, difusión de guías de buenas prácticas, obligatoriedad del template de arquitectura y gobierno técnico de proveedores.</w:t>
      </w:r>
    </w:p>
    <w:p>
      <w:pPr>
        <w:pStyle w:val="ListParagraph"/>
        <w:numPr>
          <w:ilvl w:val="0"/>
          <w:numId w:val="1"/>
        </w:numPr>
      </w:pPr>
      <w:r>
        <w:rPr>
          <w:b/>
          <w:bCs/>
        </w:rPr>
        <w:t xml:space="preserve">Etapa III – Consolidar y Evaluar (Sprints 13+): </w:t>
      </w:r>
      <w:r>
        <w:t xml:space="preserve">Medición de KPIs, revisiones de código en GitLab y proyectos de dockerización.</w:t>
      </w:r>
    </w:p>
    <w:p>
      <w:pPr>
        <w:pStyle w:val="ListParagraph"/>
        <w:numPr>
          <w:ilvl w:val="0"/>
          <w:numId w:val="1"/>
        </w:numPr>
      </w:pPr>
      <w:r>
        <w:rPr>
          <w:b/>
          <w:bCs/>
        </w:rPr>
        <w:t xml:space="preserve">Proceso Permanente – Mejora Continua: </w:t>
      </w:r>
      <w:r>
        <w:t xml:space="preserve">Auditorías periódicas de procedimientos, actualización de capacitaciones y evaluación de innovaciones.</w:t>
      </w:r>
    </w:p>
    <w:p/>
    <w:p>
      <w:pPr>
        <w:pStyle w:val="Heading2"/>
      </w:pPr>
      <w:r>
        <w:rPr>
          <w:rFonts w:ascii="Arial" w:cs="Arial" w:eastAsia="Arial" w:hAnsi="Arial"/>
          <w:b/>
          <w:bCs/>
          <w:sz w:val="24"/>
          <w:szCs w:val="24"/>
        </w:rPr>
        <w:t xml:space="preserve">8.2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Pr>
          <w:p>
            <w:r>
              <w:rPr>
                <w:rFonts w:ascii="Arial" w:cs="Arial" w:eastAsia="Arial" w:hAnsi="Arial"/>
                <w:b/>
                <w:bCs/>
              </w:rPr>
              <w:t xml:space="preserve">Etapa</w:t>
            </w:r>
          </w:p>
        </w:tc>
        <w:tc>
          <w:tcPr>
            <w:tcW w:type="pct" w:w="35%"/>
          </w:tcPr>
          <w:p>
            <w:r>
              <w:rPr>
                <w:rFonts w:ascii="Arial" w:cs="Arial" w:eastAsia="Arial" w:hAnsi="Arial"/>
                <w:b/>
                <w:bCs/>
              </w:rPr>
              <w:t xml:space="preserve">Objetivo Principal</w:t>
            </w:r>
          </w:p>
        </w:tc>
        <w:tc>
          <w:tcPr>
            <w:tcW w:type="pct" w:w="35%"/>
          </w:tcPr>
          <w:p>
            <w:r>
              <w:rPr>
                <w:rFonts w:ascii="Arial" w:cs="Arial" w:eastAsia="Arial" w:hAnsi="Arial"/>
                <w:b/>
                <w:bCs/>
              </w:rPr>
              <w:t xml:space="preserve">Resultado Esperado</w:t>
            </w:r>
          </w:p>
        </w:tc>
      </w:tr>
      <w:tr>
        <w:tc>
          <w:p>
            <w:r>
              <w:rPr>
                <w:rFonts w:ascii="Arial" w:cs="Arial" w:eastAsia="Arial" w:hAnsi="Arial"/>
                <w:b/>
                <w:bCs/>
              </w:rPr>
              <w:t xml:space="preserve">Organización (Etapa I)</w:t>
            </w:r>
          </w:p>
        </w:tc>
        <w:tc>
          <w:p>
            <w:r>
              <w:rPr>
                <w:rFonts w:ascii="Arial" w:cs="Arial" w:eastAsia="Arial" w:hAnsi="Arial"/>
              </w:rPr>
              <w:t xml:space="preserve">Conocer e inventariar el Departamento</w:t>
            </w:r>
          </w:p>
        </w:tc>
        <w:tc>
          <w:p>
            <w:r>
              <w:rPr>
                <w:rFonts w:ascii="Arial" w:cs="Arial" w:eastAsia="Arial" w:hAnsi="Arial"/>
              </w:rPr>
              <w:t xml:space="preserve">Inventario completo de sistemas y Matriz de Competencias</w:t>
            </w:r>
          </w:p>
        </w:tc>
      </w:tr>
      <w:tr>
        <w:tc>
          <w:p>
            <w:r>
              <w:rPr>
                <w:rFonts w:ascii="Arial" w:cs="Arial" w:eastAsia="Arial" w:hAnsi="Arial"/>
                <w:b/>
                <w:bCs/>
              </w:rPr>
              <w:t xml:space="preserve">Estandarización (Etapa II)</w:t>
            </w:r>
          </w:p>
        </w:tc>
        <w:tc>
          <w:p>
            <w:r>
              <w:rPr>
                <w:rFonts w:ascii="Arial" w:cs="Arial" w:eastAsia="Arial" w:hAnsi="Arial"/>
              </w:rPr>
              <w:t xml:space="preserve">Unificar procedimientos y arquitectura</w:t>
            </w:r>
          </w:p>
        </w:tc>
        <w:tc>
          <w:p>
            <w:r>
              <w:rPr>
                <w:rFonts w:ascii="Arial" w:cs="Arial" w:eastAsia="Arial" w:hAnsi="Arial"/>
              </w:rPr>
              <w:t xml:space="preserve">Procesos homogéneos y guías instituidas</w:t>
            </w:r>
          </w:p>
        </w:tc>
      </w:tr>
      <w:tr>
        <w:tc>
          <w:p>
            <w:r>
              <w:rPr>
                <w:rFonts w:ascii="Arial" w:cs="Arial" w:eastAsia="Arial" w:hAnsi="Arial"/>
                <w:b/>
                <w:bCs/>
              </w:rPr>
              <w:t xml:space="preserve">Consolidación (Etapa III)</w:t>
            </w:r>
          </w:p>
        </w:tc>
        <w:tc>
          <w:p>
            <w:r>
              <w:rPr>
                <w:rFonts w:ascii="Arial" w:cs="Arial" w:eastAsia="Arial" w:hAnsi="Arial"/>
              </w:rPr>
              <w:t xml:space="preserve">Reducir riesgos operacionales</w:t>
            </w:r>
          </w:p>
        </w:tc>
        <w:tc>
          <w:p>
            <w:r>
              <w:rPr>
                <w:rFonts w:ascii="Arial" w:cs="Arial" w:eastAsia="Arial" w:hAnsi="Arial"/>
              </w:rPr>
              <w:t xml:space="preserve">Conocimiento distribuido (Referentes Secundarios) y KPIs</w:t>
            </w:r>
          </w:p>
        </w:tc>
      </w:tr>
      <w:tr>
        <w:tc>
          <w:p>
            <w:r>
              <w:rPr>
                <w:rFonts w:ascii="Arial" w:cs="Arial" w:eastAsia="Arial" w:hAnsi="Arial"/>
                <w:b/>
                <w:bCs/>
              </w:rPr>
              <w:t xml:space="preserve">Innovación (Permanente)</w:t>
            </w:r>
          </w:p>
        </w:tc>
        <w:tc>
          <w:p>
            <w:r>
              <w:rPr>
                <w:rFonts w:ascii="Arial" w:cs="Arial" w:eastAsia="Arial" w:hAnsi="Arial"/>
              </w:rPr>
              <w:t xml:space="preserve">Evolución tecnológica y adopción de IA</w:t>
            </w:r>
          </w:p>
        </w:tc>
        <w:tc>
          <w:p>
            <w:r>
              <w:rPr>
                <w:rFonts w:ascii="Arial" w:cs="Arial" w:eastAsia="Arial" w:hAnsi="Arial"/>
              </w:rPr>
              <w:t xml:space="preserve">Mayor productividad y soluciones sostenibles</w:t>
            </w:r>
          </w:p>
        </w:tc>
      </w:tr>
    </w:tbl>
    <w:p/>
    <w:p>
      <w:pPr>
        <w:pStyle w:val="Heading1"/>
      </w:pPr>
      <w:r>
        <w:rPr>
          <w:rFonts w:ascii="Arial" w:cs="Arial" w:eastAsia="Arial" w:hAnsi="Arial"/>
          <w:b/>
          <w:bCs/>
          <w:sz w:val="28"/>
          <w:szCs w:val="28"/>
        </w:rPr>
        <w:t xml:space="preserve">9. MATRIZ DE INDICADORES DE EVALUACIÓN Y GESTIÓN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rFonts w:ascii="Arial" w:cs="Arial" w:eastAsia="Arial" w:hAnsi="Arial"/>
                <w:b/>
                <w:bCs/>
              </w:rPr>
              <w:t xml:space="preserve">Categoría</w:t>
            </w:r>
          </w:p>
        </w:tc>
        <w:tc>
          <w:tcPr>
            <w:tcW w:type="pct" w:w="40%"/>
          </w:tcPr>
          <w:p>
            <w:r>
              <w:rPr>
                <w:rFonts w:ascii="Arial" w:cs="Arial" w:eastAsia="Arial" w:hAnsi="Arial"/>
                <w:b/>
                <w:bCs/>
              </w:rPr>
              <w:t xml:space="preserve">Indicador de Gestión</w:t>
            </w:r>
          </w:p>
        </w:tc>
        <w:tc>
          <w:tcPr>
            <w:tcW w:type="pct" w:w="35%"/>
          </w:tcPr>
          <w:p>
            <w:r>
              <w:rPr>
                <w:rFonts w:ascii="Arial" w:cs="Arial" w:eastAsia="Arial" w:hAnsi="Arial"/>
                <w:b/>
                <w:bCs/>
              </w:rPr>
              <w:t xml:space="preserve">Objetivo Estratégico</w:t>
            </w:r>
          </w:p>
        </w:tc>
      </w:tr>
      <w:tr>
        <w:tc>
          <w:p>
            <w:r>
              <w:rPr>
                <w:rFonts w:ascii="Arial" w:cs="Arial" w:eastAsia="Arial" w:hAnsi="Arial"/>
                <w:b/>
                <w:bCs/>
              </w:rPr>
              <w:t xml:space="preserve">Riesgo Operacional</w:t>
            </w:r>
          </w:p>
        </w:tc>
        <w:tc>
          <w:p>
            <w:r>
              <w:rPr>
                <w:rFonts w:ascii="Arial" w:cs="Arial" w:eastAsia="Arial" w:hAnsi="Arial"/>
              </w:rPr>
              <w:t xml:space="preserve">% de Sistemas Críticos con Referente Secundario Asignado</w:t>
            </w:r>
          </w:p>
        </w:tc>
        <w:tc>
          <w:p>
            <w:r>
              <w:rPr>
                <w:rFonts w:ascii="Arial" w:cs="Arial" w:eastAsia="Arial" w:hAnsi="Arial"/>
              </w:rPr>
              <w:t xml:space="preserve">Tender al 100% para eliminar los Single Points of Failure.</w:t>
            </w:r>
          </w:p>
        </w:tc>
      </w:tr>
      <w:tr>
        <w:tc>
          <w:p>
            <w:r>
              <w:rPr>
                <w:rFonts w:ascii="Arial" w:cs="Arial" w:eastAsia="Arial" w:hAnsi="Arial"/>
                <w:b/>
                <w:bCs/>
              </w:rPr>
              <w:t xml:space="preserve">Documentación</w:t>
            </w:r>
          </w:p>
        </w:tc>
        <w:tc>
          <w:p>
            <w:r>
              <w:rPr>
                <w:rFonts w:ascii="Arial" w:cs="Arial" w:eastAsia="Arial" w:hAnsi="Arial"/>
              </w:rPr>
              <w:t xml:space="preserve">% de Sistemas con Documentación Mínima Útil</w:t>
            </w:r>
          </w:p>
        </w:tc>
        <w:tc>
          <w:p>
            <w:r>
              <w:rPr>
                <w:rFonts w:ascii="Arial" w:cs="Arial" w:eastAsia="Arial" w:hAnsi="Arial"/>
              </w:rPr>
              <w:t xml:space="preserve">Garantizar la retención y transferencia del conocimiento.</w:t>
            </w:r>
          </w:p>
        </w:tc>
      </w:tr>
      <w:tr>
        <w:tc>
          <w:p>
            <w:r>
              <w:rPr>
                <w:rFonts w:ascii="Arial" w:cs="Arial" w:eastAsia="Arial" w:hAnsi="Arial"/>
                <w:b/>
                <w:bCs/>
              </w:rPr>
              <w:t xml:space="preserve">Estandarización</w:t>
            </w:r>
          </w:p>
        </w:tc>
        <w:tc>
          <w:p>
            <w:r>
              <w:rPr>
                <w:rFonts w:ascii="Arial" w:cs="Arial" w:eastAsia="Arial" w:hAnsi="Arial"/>
              </w:rPr>
              <w:t xml:space="preserve">% de Proyectos Nuevos alineados a la Arquitectura Base</w:t>
            </w:r>
          </w:p>
        </w:tc>
        <w:tc>
          <w:p>
            <w:r>
              <w:rPr>
                <w:rFonts w:ascii="Arial" w:cs="Arial" w:eastAsia="Arial" w:hAnsi="Arial"/>
              </w:rPr>
              <w:t xml:space="preserve">Garantizar código homogéneo, mantenible y escalable.</w:t>
            </w:r>
          </w:p>
        </w:tc>
      </w:tr>
      <w:tr>
        <w:tc>
          <w:p>
            <w:r>
              <w:rPr>
                <w:rFonts w:ascii="Arial" w:cs="Arial" w:eastAsia="Arial" w:hAnsi="Arial"/>
                <w:b/>
                <w:bCs/>
              </w:rPr>
              <w:t xml:space="preserve">Eficiencia Procesal</w:t>
            </w:r>
          </w:p>
        </w:tc>
        <w:tc>
          <w:p>
            <w:r>
              <w:rPr>
                <w:rFonts w:ascii="Arial" w:cs="Arial" w:eastAsia="Arial" w:hAnsi="Arial"/>
              </w:rPr>
              <w:t xml:space="preserve">Lead Time de Desarrollo (Solicitud ➔ Puesta en Producción)</w:t>
            </w:r>
          </w:p>
        </w:tc>
        <w:tc>
          <w:p>
            <w:r>
              <w:rPr>
                <w:rFonts w:ascii="Arial" w:cs="Arial" w:eastAsia="Arial" w:hAnsi="Arial"/>
              </w:rPr>
              <w:t xml:space="preserve">Reducir tiempos de entrega mediante priorización ágil.</w:t>
            </w:r>
          </w:p>
        </w:tc>
      </w:tr>
      <w:tr>
        <w:tc>
          <w:p>
            <w:r>
              <w:rPr>
                <w:rFonts w:ascii="Arial" w:cs="Arial" w:eastAsia="Arial" w:hAnsi="Arial"/>
                <w:b/>
                <w:bCs/>
              </w:rPr>
              <w:t xml:space="preserve">Calidad de Entrega</w:t>
            </w:r>
          </w:p>
        </w:tc>
        <w:tc>
          <w:p>
            <w:r>
              <w:rPr>
                <w:rFonts w:ascii="Arial" w:cs="Arial" w:eastAsia="Arial" w:hAnsi="Arial"/>
              </w:rPr>
              <w:t xml:space="preserve">Tasa de Defectos Reportados en Post-Producción</w:t>
            </w:r>
          </w:p>
        </w:tc>
        <w:tc>
          <w:p>
            <w:r>
              <w:rPr>
                <w:rFonts w:ascii="Arial" w:cs="Arial" w:eastAsia="Arial" w:hAnsi="Arial"/>
              </w:rPr>
              <w:t xml:space="preserve">Minimizar fallas mediante buenas prácticas y peer review.</w:t>
            </w:r>
          </w:p>
        </w:tc>
      </w:tr>
      <w:tr>
        <w:tc>
          <w:p>
            <w:r>
              <w:rPr>
                <w:rFonts w:ascii="Arial" w:cs="Arial" w:eastAsia="Arial" w:hAnsi="Arial"/>
                <w:b/>
                <w:bCs/>
              </w:rPr>
              <w:t xml:space="preserve">Control de Terceros</w:t>
            </w:r>
          </w:p>
        </w:tc>
        <w:tc>
          <w:p>
            <w:r>
              <w:rPr>
                <w:rFonts w:ascii="Arial" w:cs="Arial" w:eastAsia="Arial" w:hAnsi="Arial"/>
              </w:rPr>
              <w:t xml:space="preserve">% de Desarrollos Externos con Recepción Técnica Aprobada</w:t>
            </w:r>
          </w:p>
        </w:tc>
        <w:tc>
          <w:p>
            <w:r>
              <w:rPr>
                <w:rFonts w:ascii="Arial" w:cs="Arial" w:eastAsia="Arial" w:hAnsi="Arial"/>
              </w:rPr>
              <w:t xml:space="preserve">Asegurar entrega de código fuente y soberanía técnica.</w:t>
            </w:r>
          </w:p>
        </w:tc>
      </w:tr>
    </w:tbl>
    <w:p/>
    <w:p>
      <w:pPr>
        <w:pStyle w:val="Heading1"/>
      </w:pPr>
      <w:r>
        <w:rPr>
          <w:rFonts w:ascii="Arial" w:cs="Arial" w:eastAsia="Arial" w:hAnsi="Arial"/>
          <w:b/>
          <w:bCs/>
          <w:sz w:val="28"/>
          <w:szCs w:val="28"/>
        </w:rPr>
        <w:t xml:space="preserve">10. SECTORES DEL DEPARTAMENTO (MATRIZ DINÁMICA DE TRABAJO)</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1"/>
      </w:pPr>
      <w:r>
        <w:rPr>
          <w:rFonts w:ascii="Arial" w:cs="Arial" w:eastAsia="Arial" w:hAnsi="Arial"/>
          <w:b/>
          <w:bCs/>
          <w:sz w:val="28"/>
          <w:szCs w:val="28"/>
        </w:rPr>
        <w:t xml:space="preserve">11. CONCLUSIONES</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Gerencial,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demuestra cómo es posible transformar la realidad actual mediante el uso inteligente de los recursos disponibles (Escenario REAL $0) y trazar un camino presupuestario sólido para incorporar innovación tecnológica (Escenario IDEAL), asegurando que el patrimonio de software del Municipio sea seguro, duradero y de calidad.</w:t>
      </w:r>
    </w:p>
    <w:p>
      <w:r>
        <w:t xml:space="preserve">La tecnología constituye una herramienta al servicio de la gestión pública. En consecuencia, el verdadero desafío del Departamento no consiste únicamente en desarrollar software, sino en aportar soluciones que mejoren la eficiencia administrativa, fortalezcan la continuidad institucional y generen valor para toda la ciudadanía. Ese será el criterio rector que orientará la gestión propuesta.</w:t>
      </w:r>
    </w:p>
    <w:sectPr>
      <w:pgSz w:w="11906" w:h="16838" w:orient="portrait"/>
      <w:pgMar w:top="1701" w:right="850"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259"/>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2026-07-29T16:09:10.053Z</dcterms:created>
  <dcterms:modified xsi:type="dcterms:W3CDTF">2026-07-29T16:09:10.054Z</dcterms:modified>
</cp:coreProperties>
</file>

<file path=docProps/custom.xml><?xml version="1.0" encoding="utf-8"?>
<Properties xmlns="http://schemas.openxmlformats.org/officeDocument/2006/custom-properties" xmlns:vt="http://schemas.openxmlformats.org/officeDocument/2006/docPropsVTypes"/>
</file>