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04E7" w:rsidRDefault="00A504E7" w:rsidP="00A504E7">
      <w:pPr>
        <w:jc w:val="center"/>
        <w:rPr>
          <w:rFonts w:ascii="Arial" w:hAnsi="Arial" w:cs="Arial"/>
          <w:b/>
          <w:color w:val="555555"/>
          <w:sz w:val="24"/>
        </w:rPr>
      </w:pPr>
      <w:r>
        <w:rPr>
          <w:rFonts w:ascii="Arial" w:hAnsi="Arial" w:cs="Arial"/>
          <w:b/>
          <w:color w:val="555555"/>
          <w:sz w:val="24"/>
        </w:rPr>
        <w:t>MUNICIPALIDAD DE GENERAL PUEYRREDON</w:t>
      </w:r>
    </w:p>
    <w:p w:rsidR="00A504E7" w:rsidRDefault="00A504E7" w:rsidP="00A504E7">
      <w:pPr>
        <w:jc w:val="center"/>
        <w:rPr>
          <w:rFonts w:ascii="Arial" w:hAnsi="Arial" w:cs="Arial"/>
          <w:b/>
          <w:color w:val="555555"/>
          <w:sz w:val="24"/>
        </w:rPr>
      </w:pPr>
      <w:r>
        <w:rPr>
          <w:rFonts w:ascii="Arial" w:hAnsi="Arial" w:cs="Arial"/>
          <w:b/>
          <w:color w:val="555555"/>
          <w:sz w:val="24"/>
        </w:rPr>
        <w:t>SECRETARIA DE PARTICIPACION CIUDADANA Y DESCENTRALIZACION</w:t>
      </w:r>
    </w:p>
    <w:p w:rsidR="00A504E7" w:rsidRDefault="00A504E7" w:rsidP="00A504E7">
      <w:pPr>
        <w:jc w:val="center"/>
        <w:rPr>
          <w:rFonts w:ascii="Arial" w:hAnsi="Arial" w:cs="Arial"/>
          <w:b/>
          <w:color w:val="555555"/>
          <w:sz w:val="24"/>
        </w:rPr>
      </w:pPr>
      <w:r>
        <w:rPr>
          <w:rFonts w:ascii="Arial" w:hAnsi="Arial" w:cs="Arial"/>
          <w:b/>
          <w:color w:val="555555"/>
          <w:sz w:val="24"/>
        </w:rPr>
        <w:t>SUBSECRETARIA DE GOBIERNO DIGITAL Y MEJORA DE PROCESOS</w:t>
      </w:r>
    </w:p>
    <w:p w:rsidR="00A504E7" w:rsidRDefault="00A504E7" w:rsidP="00A504E7">
      <w:pPr>
        <w:jc w:val="center"/>
        <w:rPr>
          <w:rFonts w:ascii="Arial" w:hAnsi="Arial" w:cs="Arial"/>
          <w:b/>
          <w:color w:val="555555"/>
          <w:sz w:val="24"/>
        </w:rPr>
      </w:pPr>
    </w:p>
    <w:p w:rsidR="00A504E7" w:rsidRDefault="00A504E7" w:rsidP="00A504E7">
      <w:pPr>
        <w:jc w:val="center"/>
        <w:rPr>
          <w:rFonts w:ascii="Arial" w:hAnsi="Arial" w:cs="Arial"/>
          <w:color w:val="333333"/>
        </w:rPr>
      </w:pPr>
      <w:r>
        <w:rPr>
          <w:rFonts w:ascii="Arial" w:hAnsi="Arial" w:cs="Arial"/>
          <w:color w:val="333333"/>
        </w:rPr>
        <w:t>Concurso Interno de Oposicion y Antecedentes</w:t>
      </w:r>
    </w:p>
    <w:p w:rsidR="00A504E7" w:rsidRDefault="00A504E7" w:rsidP="00A504E7">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A504E7" w:rsidRDefault="00A504E7" w:rsidP="00A504E7">
      <w:pPr>
        <w:jc w:val="center"/>
        <w:rPr>
          <w:rFonts w:ascii="Arial" w:hAnsi="Arial" w:cs="Arial"/>
          <w:b/>
          <w:color w:val="333333"/>
        </w:rPr>
      </w:pPr>
      <w:r>
        <w:rPr>
          <w:rFonts w:ascii="Arial" w:hAnsi="Arial" w:cs="Arial"/>
          <w:b/>
          <w:color w:val="333333"/>
        </w:rPr>
        <w:t>C.F. 1-31-00-01 | N de Orden 6733</w:t>
      </w:r>
    </w:p>
    <w:p w:rsidR="00A504E7" w:rsidRDefault="00A504E7" w:rsidP="00A504E7">
      <w:pPr>
        <w:jc w:val="center"/>
        <w:rPr>
          <w:rFonts w:ascii="Arial" w:hAnsi="Arial" w:cs="Arial"/>
          <w:b/>
          <w:color w:val="333333"/>
        </w:rPr>
      </w:pPr>
    </w:p>
    <w:p w:rsidR="00A504E7" w:rsidRDefault="00A504E7" w:rsidP="00A504E7">
      <w:pPr>
        <w:jc w:val="center"/>
        <w:rPr>
          <w:rFonts w:ascii="Arial" w:hAnsi="Arial" w:cs="Arial"/>
          <w:b/>
          <w:color w:val="333333"/>
        </w:rPr>
      </w:pPr>
    </w:p>
    <w:p w:rsidR="00A504E7" w:rsidRDefault="00A504E7" w:rsidP="00A504E7">
      <w:pPr>
        <w:jc w:val="center"/>
        <w:rPr>
          <w:rFonts w:ascii="Arial" w:hAnsi="Arial" w:cs="Arial"/>
          <w:b/>
          <w:color w:val="1B365D"/>
          <w:sz w:val="44"/>
        </w:rPr>
      </w:pPr>
      <w:r>
        <w:rPr>
          <w:rFonts w:ascii="Arial" w:hAnsi="Arial" w:cs="Arial"/>
          <w:b/>
          <w:color w:val="1B365D"/>
          <w:sz w:val="44"/>
        </w:rPr>
        <w:t>PLAN DE TRABAJO</w:t>
      </w:r>
    </w:p>
    <w:p w:rsidR="00A504E7" w:rsidRDefault="00A504E7" w:rsidP="00A504E7">
      <w:pPr>
        <w:jc w:val="center"/>
        <w:rPr>
          <w:rFonts w:ascii="Arial" w:hAnsi="Arial" w:cs="Arial"/>
          <w:b/>
          <w:color w:val="1B365D"/>
          <w:sz w:val="44"/>
        </w:rPr>
      </w:pPr>
    </w:p>
    <w:p w:rsidR="00A504E7" w:rsidRDefault="00A504E7" w:rsidP="00A504E7">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A504E7" w:rsidRDefault="00A504E7" w:rsidP="00A504E7">
      <w:pPr>
        <w:jc w:val="center"/>
        <w:rPr>
          <w:rFonts w:ascii="Arial" w:hAnsi="Arial" w:cs="Arial"/>
          <w:b/>
          <w:i/>
          <w:color w:val="222222"/>
          <w:sz w:val="24"/>
        </w:rPr>
      </w:pPr>
    </w:p>
    <w:p w:rsidR="00A504E7" w:rsidRDefault="00A504E7" w:rsidP="00A504E7">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A504E7" w:rsidRDefault="00A504E7" w:rsidP="00A504E7">
      <w:pPr>
        <w:jc w:val="center"/>
        <w:rPr>
          <w:rFonts w:ascii="Arial" w:hAnsi="Arial" w:cs="Arial"/>
          <w:i/>
          <w:color w:val="666666"/>
          <w:sz w:val="20"/>
        </w:rPr>
      </w:pPr>
    </w:p>
    <w:p w:rsidR="00A504E7" w:rsidRDefault="00A504E7" w:rsidP="00A504E7">
      <w:pPr>
        <w:jc w:val="center"/>
        <w:rPr>
          <w:rFonts w:ascii="Arial" w:hAnsi="Arial" w:cs="Arial"/>
          <w:i/>
          <w:color w:val="666666"/>
          <w:sz w:val="20"/>
        </w:rPr>
      </w:pPr>
    </w:p>
    <w:p w:rsidR="00A504E7" w:rsidRDefault="00A504E7" w:rsidP="00A504E7">
      <w:pPr>
        <w:jc w:val="center"/>
        <w:rPr>
          <w:rFonts w:ascii="Arial" w:hAnsi="Arial" w:cs="Arial"/>
          <w:i/>
          <w:color w:val="666666"/>
          <w:sz w:val="20"/>
        </w:rPr>
      </w:pPr>
    </w:p>
    <w:p w:rsidR="00A504E7" w:rsidRDefault="00A504E7" w:rsidP="00A504E7">
      <w:pPr>
        <w:jc w:val="center"/>
        <w:rPr>
          <w:rFonts w:ascii="Arial" w:hAnsi="Arial" w:cs="Arial"/>
          <w:i/>
          <w:color w:val="666666"/>
          <w:sz w:val="20"/>
        </w:rPr>
      </w:pPr>
    </w:p>
    <w:p w:rsidR="00A504E7" w:rsidRDefault="00A504E7" w:rsidP="00A504E7">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A504E7" w:rsidRDefault="00A504E7" w:rsidP="00A504E7">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A504E7" w:rsidRDefault="00A504E7" w:rsidP="00A504E7">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A504E7" w:rsidRDefault="00A504E7" w:rsidP="00A504E7">
      <w:pPr>
        <w:rPr>
          <w:rFonts w:ascii="Arial" w:hAnsi="Arial" w:cs="Arial"/>
          <w:color w:val="000000"/>
        </w:rPr>
      </w:pPr>
    </w:p>
    <w:p w:rsidR="00A504E7" w:rsidRDefault="00A504E7" w:rsidP="00A504E7">
      <w:pPr>
        <w:rPr>
          <w:rFonts w:ascii="Arial" w:hAnsi="Arial" w:cs="Arial"/>
          <w:color w:val="000000"/>
        </w:rPr>
      </w:pPr>
    </w:p>
    <w:p w:rsidR="00A504E7" w:rsidRDefault="00A504E7" w:rsidP="00A504E7">
      <w:pPr>
        <w:jc w:val="center"/>
        <w:rPr>
          <w:rFonts w:ascii="Arial" w:hAnsi="Arial" w:cs="Arial"/>
          <w:color w:val="555555"/>
          <w:sz w:val="20"/>
        </w:rPr>
      </w:pPr>
      <w:r>
        <w:rPr>
          <w:rFonts w:ascii="Arial" w:hAnsi="Arial" w:cs="Arial"/>
          <w:color w:val="555555"/>
          <w:sz w:val="20"/>
        </w:rPr>
        <w:t>Mar del Plata, Julio de 2026</w:t>
      </w:r>
    </w:p>
    <w:p w:rsidR="00A504E7" w:rsidRDefault="00A504E7">
      <w:pPr>
        <w:rPr>
          <w:rFonts w:ascii="Arial" w:hAnsi="Arial" w:cs="Arial"/>
          <w:color w:val="555555"/>
          <w:sz w:val="20"/>
        </w:rPr>
      </w:pPr>
      <w:r>
        <w:rPr>
          <w:rFonts w:ascii="Arial" w:hAnsi="Arial" w:cs="Arial"/>
          <w:color w:val="555555"/>
          <w:sz w:val="20"/>
        </w:rPr>
        <w:br w:type="page"/>
      </w:r>
    </w:p>
    <w:p w:rsidR="009D2519" w:rsidRDefault="00A504E7" w:rsidP="00A504E7">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1. Abordaje</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2. Introducción</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A504E7" w:rsidRDefault="00A504E7" w:rsidP="00A504E7">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A504E7" w:rsidRDefault="00A504E7" w:rsidP="00A504E7">
      <w:pPr>
        <w:spacing w:before="200" w:after="60" w:line="240" w:lineRule="auto"/>
        <w:rPr>
          <w:rFonts w:ascii="Arial" w:hAnsi="Arial" w:cs="Arial"/>
          <w:b/>
          <w:color w:val="222222"/>
        </w:rPr>
      </w:pPr>
      <w:r>
        <w:rPr>
          <w:rFonts w:ascii="Arial" w:hAnsi="Arial" w:cs="Arial"/>
          <w:b/>
          <w:color w:val="222222"/>
        </w:rPr>
        <w:t>Fortalezas</w:t>
      </w:r>
    </w:p>
    <w:p w:rsidR="00A504E7" w:rsidRDefault="00A504E7" w:rsidP="00A504E7">
      <w:pPr>
        <w:spacing w:before="120" w:after="20" w:line="240" w:lineRule="auto"/>
        <w:rPr>
          <w:rFonts w:ascii="Arial" w:hAnsi="Arial" w:cs="Arial"/>
          <w:b/>
          <w:color w:val="111111"/>
        </w:rPr>
      </w:pPr>
      <w:r>
        <w:rPr>
          <w:rFonts w:ascii="Arial" w:hAnsi="Arial" w:cs="Arial"/>
          <w:b/>
          <w:color w:val="111111"/>
        </w:rPr>
        <w:t>• Personal Técnico Capacitado:</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A504E7" w:rsidRDefault="00A504E7" w:rsidP="00A504E7">
      <w:pPr>
        <w:spacing w:before="120" w:after="20" w:line="240" w:lineRule="auto"/>
        <w:rPr>
          <w:rFonts w:ascii="Arial" w:hAnsi="Arial" w:cs="Arial"/>
          <w:b/>
          <w:color w:val="111111"/>
        </w:rPr>
      </w:pPr>
      <w:r>
        <w:rPr>
          <w:rFonts w:ascii="Arial" w:hAnsi="Arial" w:cs="Arial"/>
          <w:b/>
          <w:color w:val="111111"/>
        </w:rPr>
        <w:t>• Disponibilidad de medios: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A504E7" w:rsidRDefault="00A504E7" w:rsidP="00A504E7">
      <w:pPr>
        <w:spacing w:before="200" w:after="60" w:line="240" w:lineRule="auto"/>
        <w:rPr>
          <w:rFonts w:ascii="Arial" w:hAnsi="Arial" w:cs="Arial"/>
          <w:b/>
          <w:color w:val="222222"/>
        </w:rPr>
      </w:pPr>
      <w:r>
        <w:rPr>
          <w:rFonts w:ascii="Arial" w:hAnsi="Arial" w:cs="Arial"/>
          <w:b/>
          <w:color w:val="222222"/>
        </w:rPr>
        <w:t>Debilidades</w:t>
      </w:r>
    </w:p>
    <w:p w:rsidR="00A504E7" w:rsidRDefault="00A504E7" w:rsidP="00A504E7">
      <w:pPr>
        <w:spacing w:before="120" w:after="20" w:line="240" w:lineRule="auto"/>
        <w:rPr>
          <w:rFonts w:ascii="Arial" w:hAnsi="Arial" w:cs="Arial"/>
          <w:b/>
          <w:color w:val="111111"/>
        </w:rPr>
      </w:pPr>
      <w:r>
        <w:rPr>
          <w:rFonts w:ascii="Arial" w:hAnsi="Arial" w:cs="Arial"/>
          <w:b/>
          <w:color w:val="111111"/>
        </w:rPr>
        <w:t>• Fragmentación Tecnológica:</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A504E7" w:rsidRDefault="00A504E7" w:rsidP="00A504E7">
      <w:pPr>
        <w:spacing w:before="120" w:after="20" w:line="240" w:lineRule="auto"/>
        <w:rPr>
          <w:rFonts w:ascii="Arial" w:hAnsi="Arial" w:cs="Arial"/>
          <w:b/>
          <w:color w:val="111111"/>
        </w:rPr>
      </w:pPr>
      <w:r>
        <w:rPr>
          <w:rFonts w:ascii="Arial" w:hAnsi="Arial" w:cs="Arial"/>
          <w:b/>
          <w:color w:val="111111"/>
        </w:rPr>
        <w:t>• Falta de una Arquitectura Base Estandarizada:</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A504E7" w:rsidRDefault="00A504E7" w:rsidP="00A504E7">
      <w:pPr>
        <w:spacing w:before="120" w:after="20" w:line="240" w:lineRule="auto"/>
        <w:rPr>
          <w:rFonts w:ascii="Arial" w:hAnsi="Arial" w:cs="Arial"/>
          <w:b/>
          <w:color w:val="111111"/>
        </w:rPr>
      </w:pPr>
      <w:r>
        <w:rPr>
          <w:rFonts w:ascii="Arial" w:hAnsi="Arial" w:cs="Arial"/>
          <w:b/>
          <w:color w:val="111111"/>
        </w:rPr>
        <w:t>• Multitarea Extrema y Conocimiento Concentrado:</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A504E7" w:rsidRDefault="00A504E7" w:rsidP="00A504E7">
      <w:pPr>
        <w:spacing w:before="120" w:after="20" w:line="240" w:lineRule="auto"/>
        <w:rPr>
          <w:rFonts w:ascii="Arial" w:hAnsi="Arial" w:cs="Arial"/>
          <w:b/>
          <w:color w:val="111111"/>
        </w:rPr>
      </w:pPr>
      <w:r>
        <w:rPr>
          <w:rFonts w:ascii="Arial" w:hAnsi="Arial" w:cs="Arial"/>
          <w:b/>
          <w:color w:val="111111"/>
        </w:rPr>
        <w:t>• Aislamiento Operativo entre Dependencias: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La falta de coordinación entre las distintas dependencias y la ausencia de un agente que coordine las tareas genera descoordinación, aislamiento en silos de información y el riesgo de desarrollar funcionalidades duplicadas por falta de comunicación.</w:t>
      </w:r>
    </w:p>
    <w:p w:rsidR="00A504E7" w:rsidRDefault="00A504E7" w:rsidP="00A504E7">
      <w:pPr>
        <w:spacing w:before="120" w:after="20" w:line="240" w:lineRule="auto"/>
        <w:rPr>
          <w:rFonts w:ascii="Arial" w:hAnsi="Arial" w:cs="Arial"/>
          <w:b/>
          <w:color w:val="111111"/>
        </w:rPr>
      </w:pPr>
      <w:r>
        <w:rPr>
          <w:rFonts w:ascii="Arial" w:hAnsi="Arial" w:cs="Arial"/>
          <w:b/>
          <w:color w:val="111111"/>
        </w:rPr>
        <w:t>• Estimación y Seguimiento Caóticos: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A504E7" w:rsidRDefault="00A504E7" w:rsidP="00A504E7">
      <w:pPr>
        <w:spacing w:before="120" w:after="20" w:line="240" w:lineRule="auto"/>
        <w:rPr>
          <w:rFonts w:ascii="Arial" w:hAnsi="Arial" w:cs="Arial"/>
          <w:b/>
          <w:color w:val="111111"/>
        </w:rPr>
      </w:pPr>
      <w:r>
        <w:rPr>
          <w:rFonts w:ascii="Arial" w:hAnsi="Arial" w:cs="Arial"/>
          <w:b/>
          <w:color w:val="111111"/>
        </w:rPr>
        <w:t>• Documentación Inexistente o Desigual:</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A504E7" w:rsidRDefault="00A504E7" w:rsidP="00A504E7">
      <w:pPr>
        <w:spacing w:before="120" w:after="20" w:line="240" w:lineRule="auto"/>
        <w:rPr>
          <w:rFonts w:ascii="Arial" w:hAnsi="Arial" w:cs="Arial"/>
          <w:b/>
          <w:color w:val="111111"/>
        </w:rPr>
      </w:pPr>
      <w:r>
        <w:rPr>
          <w:rFonts w:ascii="Arial" w:hAnsi="Arial" w:cs="Arial"/>
          <w:b/>
          <w:color w:val="111111"/>
        </w:rPr>
        <w:t>• Pruebas de Software Reactivas: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A504E7" w:rsidRDefault="00A504E7" w:rsidP="00A504E7">
      <w:pPr>
        <w:spacing w:before="120" w:after="20" w:line="240" w:lineRule="auto"/>
        <w:rPr>
          <w:rFonts w:ascii="Arial" w:hAnsi="Arial" w:cs="Arial"/>
          <w:b/>
          <w:color w:val="111111"/>
        </w:rPr>
      </w:pPr>
      <w:r>
        <w:rPr>
          <w:rFonts w:ascii="Arial" w:hAnsi="Arial" w:cs="Arial"/>
          <w:b/>
          <w:color w:val="111111"/>
        </w:rPr>
        <w:t>• Resistencia al cambio:</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A504E7" w:rsidRDefault="00A504E7" w:rsidP="00A504E7">
      <w:pPr>
        <w:spacing w:before="200" w:after="60" w:line="240" w:lineRule="auto"/>
        <w:rPr>
          <w:rFonts w:ascii="Arial" w:hAnsi="Arial" w:cs="Arial"/>
          <w:b/>
          <w:color w:val="222222"/>
        </w:rPr>
      </w:pPr>
      <w:r>
        <w:rPr>
          <w:rFonts w:ascii="Arial" w:hAnsi="Arial" w:cs="Arial"/>
          <w:b/>
          <w:color w:val="222222"/>
        </w:rPr>
        <w:t>Oportunidades</w:t>
      </w:r>
    </w:p>
    <w:p w:rsidR="00A504E7" w:rsidRDefault="00A504E7" w:rsidP="00A504E7">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A504E7" w:rsidRDefault="00A504E7" w:rsidP="00A504E7">
      <w:pPr>
        <w:spacing w:before="120" w:after="20" w:line="240" w:lineRule="auto"/>
        <w:rPr>
          <w:rFonts w:ascii="Arial" w:hAnsi="Arial" w:cs="Arial"/>
          <w:b/>
          <w:color w:val="111111"/>
        </w:rPr>
      </w:pPr>
      <w:r>
        <w:rPr>
          <w:rFonts w:ascii="Arial" w:hAnsi="Arial" w:cs="Arial"/>
          <w:b/>
          <w:color w:val="111111"/>
        </w:rPr>
        <w:t>• Adopción de Marcos Ágiles Híbridos: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A504E7" w:rsidRDefault="00A504E7" w:rsidP="00A504E7">
      <w:pPr>
        <w:spacing w:before="120" w:after="20" w:line="240" w:lineRule="auto"/>
        <w:rPr>
          <w:rFonts w:ascii="Arial" w:hAnsi="Arial" w:cs="Arial"/>
          <w:b/>
          <w:color w:val="111111"/>
        </w:rPr>
      </w:pPr>
      <w:r>
        <w:rPr>
          <w:rFonts w:ascii="Arial" w:hAnsi="Arial" w:cs="Arial"/>
          <w:b/>
          <w:color w:val="111111"/>
        </w:rPr>
        <w:t>• Estandarización mediante la Arquitectura Base:</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A504E7" w:rsidRDefault="00A504E7" w:rsidP="00A504E7">
      <w:pPr>
        <w:spacing w:before="120" w:after="20" w:line="240" w:lineRule="auto"/>
        <w:rPr>
          <w:rFonts w:ascii="Arial" w:hAnsi="Arial" w:cs="Arial"/>
          <w:b/>
          <w:color w:val="111111"/>
        </w:rPr>
      </w:pPr>
      <w:r>
        <w:rPr>
          <w:rFonts w:ascii="Arial" w:hAnsi="Arial" w:cs="Arial"/>
          <w:b/>
          <w:color w:val="111111"/>
        </w:rPr>
        <w:t>• Gestión Política favorable:</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A504E7" w:rsidRDefault="00A504E7" w:rsidP="00A504E7">
      <w:pPr>
        <w:spacing w:before="120" w:after="20" w:line="240" w:lineRule="auto"/>
        <w:rPr>
          <w:rFonts w:ascii="Arial" w:hAnsi="Arial" w:cs="Arial"/>
          <w:b/>
          <w:color w:val="111111"/>
        </w:rPr>
      </w:pPr>
      <w:r>
        <w:rPr>
          <w:rFonts w:ascii="Arial" w:hAnsi="Arial" w:cs="Arial"/>
          <w:b/>
          <w:color w:val="111111"/>
        </w:rPr>
        <w:t>• Capacitaciones disponibles y accesibles: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A504E7" w:rsidRDefault="00A504E7" w:rsidP="00A504E7">
      <w:pPr>
        <w:spacing w:before="200" w:after="60" w:line="240" w:lineRule="auto"/>
        <w:rPr>
          <w:rFonts w:ascii="Arial" w:hAnsi="Arial" w:cs="Arial"/>
          <w:b/>
          <w:color w:val="222222"/>
        </w:rPr>
      </w:pPr>
      <w:r>
        <w:rPr>
          <w:rFonts w:ascii="Arial" w:hAnsi="Arial" w:cs="Arial"/>
          <w:b/>
          <w:color w:val="222222"/>
        </w:rPr>
        <w:t>Amenazas</w:t>
      </w:r>
    </w:p>
    <w:p w:rsidR="00A504E7" w:rsidRDefault="00A504E7" w:rsidP="00A504E7">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A504E7" w:rsidRDefault="00A504E7" w:rsidP="00A504E7">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4. Objetivos</w:t>
      </w:r>
    </w:p>
    <w:p w:rsidR="00A504E7" w:rsidRDefault="00A504E7" w:rsidP="00A504E7">
      <w:pPr>
        <w:spacing w:before="200" w:after="60" w:line="240" w:lineRule="auto"/>
        <w:rPr>
          <w:rFonts w:ascii="Arial" w:hAnsi="Arial" w:cs="Arial"/>
          <w:b/>
          <w:color w:val="222222"/>
        </w:rPr>
      </w:pPr>
      <w:r>
        <w:rPr>
          <w:rFonts w:ascii="Arial" w:hAnsi="Arial" w:cs="Arial"/>
          <w:b/>
          <w:color w:val="222222"/>
        </w:rPr>
        <w:t>4.1. Objetivo General</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A504E7" w:rsidRDefault="00A504E7" w:rsidP="00A504E7">
      <w:pPr>
        <w:spacing w:before="200" w:after="60" w:line="240" w:lineRule="auto"/>
        <w:rPr>
          <w:rFonts w:ascii="Arial" w:hAnsi="Arial" w:cs="Arial"/>
          <w:b/>
          <w:color w:val="222222"/>
        </w:rPr>
      </w:pPr>
      <w:r>
        <w:rPr>
          <w:rFonts w:ascii="Arial" w:hAnsi="Arial" w:cs="Arial"/>
          <w:b/>
          <w:color w:val="222222"/>
        </w:rPr>
        <w:t>4.2. Objetivos Específicos</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A504E7" w:rsidRDefault="00A504E7" w:rsidP="00A504E7">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A504E7" w:rsidRDefault="00A504E7" w:rsidP="00A504E7">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A504E7" w:rsidRDefault="00A504E7" w:rsidP="00A504E7">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A504E7" w:rsidRDefault="00A504E7" w:rsidP="00A504E7">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A504E7" w:rsidRDefault="00A504E7" w:rsidP="00A504E7">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A504E7" w:rsidRDefault="00A504E7" w:rsidP="00A504E7">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A504E7" w:rsidRDefault="00A504E7" w:rsidP="00A504E7">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A504E7" w:rsidRDefault="00A504E7" w:rsidP="00A504E7">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A504E7" w:rsidRDefault="00A504E7" w:rsidP="00A504E7">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A504E7" w:rsidRDefault="00A504E7" w:rsidP="00A504E7">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A504E7" w:rsidRDefault="00A504E7" w:rsidP="00A504E7">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A504E7" w:rsidRDefault="00A504E7" w:rsidP="00A504E7">
      <w:pPr>
        <w:spacing w:before="200" w:after="60" w:line="240" w:lineRule="auto"/>
        <w:rPr>
          <w:rFonts w:ascii="Arial" w:hAnsi="Arial" w:cs="Arial"/>
          <w:b/>
          <w:color w:val="222222"/>
        </w:rPr>
      </w:pPr>
      <w:r>
        <w:rPr>
          <w:rFonts w:ascii="Arial" w:hAnsi="Arial" w:cs="Arial"/>
          <w:b/>
          <w:color w:val="222222"/>
        </w:rPr>
        <w:t>2. Capacitación Continua Formal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A504E7" w:rsidRDefault="00A504E7" w:rsidP="00A504E7">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A504E7" w:rsidRDefault="00A504E7" w:rsidP="00A504E7">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A504E7" w:rsidRDefault="00A504E7" w:rsidP="00A504E7">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A504E7" w:rsidRDefault="00A504E7" w:rsidP="00A504E7">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A504E7" w:rsidTr="00A504E7">
        <w:tblPrEx>
          <w:tblCellMar>
            <w:top w:w="0" w:type="dxa"/>
            <w:bottom w:w="0" w:type="dxa"/>
          </w:tblCellMar>
        </w:tblPrEx>
        <w:tc>
          <w:tcPr>
            <w:tcW w:w="3118" w:type="dxa"/>
            <w:tcBorders>
              <w:bottom w:val="single" w:sz="4" w:space="0" w:color="auto"/>
            </w:tcBorders>
            <w:shd w:val="clear" w:color="auto" w:fill="1B365D"/>
          </w:tcPr>
          <w:p w:rsidR="00A504E7" w:rsidRPr="00A504E7" w:rsidRDefault="00A504E7" w:rsidP="00A504E7">
            <w:pPr>
              <w:spacing w:before="120" w:after="20" w:line="240" w:lineRule="auto"/>
              <w:jc w:val="center"/>
              <w:rPr>
                <w:rFonts w:ascii="Arial" w:hAnsi="Arial" w:cs="Arial"/>
                <w:b/>
                <w:color w:val="FFFFFF"/>
                <w:sz w:val="19"/>
              </w:rPr>
            </w:pPr>
            <w:r w:rsidRPr="00A504E7">
              <w:rPr>
                <w:rFonts w:ascii="Arial" w:hAnsi="Arial" w:cs="Arial"/>
                <w:b/>
                <w:color w:val="FFFFFF"/>
                <w:sz w:val="19"/>
              </w:rPr>
              <w:t>Categoría</w:t>
            </w:r>
          </w:p>
        </w:tc>
        <w:tc>
          <w:tcPr>
            <w:tcW w:w="3118" w:type="dxa"/>
            <w:tcBorders>
              <w:bottom w:val="single" w:sz="4" w:space="0" w:color="auto"/>
            </w:tcBorders>
            <w:shd w:val="clear" w:color="auto" w:fill="1B365D"/>
          </w:tcPr>
          <w:p w:rsidR="00A504E7" w:rsidRPr="00A504E7" w:rsidRDefault="00A504E7" w:rsidP="00A504E7">
            <w:pPr>
              <w:spacing w:before="120" w:after="20" w:line="240" w:lineRule="auto"/>
              <w:jc w:val="center"/>
              <w:rPr>
                <w:rFonts w:ascii="Arial" w:hAnsi="Arial" w:cs="Arial"/>
                <w:b/>
                <w:color w:val="FFFFFF"/>
                <w:sz w:val="19"/>
              </w:rPr>
            </w:pPr>
            <w:r w:rsidRPr="00A504E7">
              <w:rPr>
                <w:rFonts w:ascii="Arial" w:hAnsi="Arial" w:cs="Arial"/>
                <w:b/>
                <w:color w:val="FFFFFF"/>
                <w:sz w:val="19"/>
              </w:rPr>
              <w:t>Indicador de Gestión</w:t>
            </w:r>
          </w:p>
        </w:tc>
        <w:tc>
          <w:tcPr>
            <w:tcW w:w="3119" w:type="dxa"/>
            <w:tcBorders>
              <w:bottom w:val="single" w:sz="4" w:space="0" w:color="auto"/>
            </w:tcBorders>
            <w:shd w:val="clear" w:color="auto" w:fill="1B365D"/>
          </w:tcPr>
          <w:p w:rsidR="00A504E7" w:rsidRPr="00A504E7" w:rsidRDefault="00A504E7" w:rsidP="00A504E7">
            <w:pPr>
              <w:spacing w:before="120" w:after="20" w:line="240" w:lineRule="auto"/>
              <w:jc w:val="center"/>
              <w:rPr>
                <w:rFonts w:ascii="Arial" w:hAnsi="Arial" w:cs="Arial"/>
                <w:b/>
                <w:color w:val="FFFFFF"/>
                <w:sz w:val="19"/>
              </w:rPr>
            </w:pPr>
            <w:r w:rsidRPr="00A504E7">
              <w:rPr>
                <w:rFonts w:ascii="Arial" w:hAnsi="Arial" w:cs="Arial"/>
                <w:b/>
                <w:color w:val="FFFFFF"/>
                <w:sz w:val="19"/>
              </w:rPr>
              <w:t>Objetivo Estratégico</w:t>
            </w:r>
          </w:p>
        </w:tc>
      </w:tr>
      <w:tr w:rsidR="00A504E7" w:rsidTr="00A504E7">
        <w:tblPrEx>
          <w:tblCellMar>
            <w:top w:w="0" w:type="dxa"/>
            <w:bottom w:w="0" w:type="dxa"/>
          </w:tblCellMar>
        </w:tblPrEx>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**Riesgo Operacional**</w:t>
            </w:r>
          </w:p>
        </w:tc>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 de Sistemas Críticos con Referente Secundario Asignado</w:t>
            </w:r>
          </w:p>
        </w:tc>
        <w:tc>
          <w:tcPr>
            <w:tcW w:w="3119"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Tender al 100% para eliminar los *Single Points of Failure*.</w:t>
            </w:r>
          </w:p>
        </w:tc>
      </w:tr>
      <w:tr w:rsidR="00A504E7" w:rsidTr="00A504E7">
        <w:tblPrEx>
          <w:tblCellMar>
            <w:top w:w="0" w:type="dxa"/>
            <w:bottom w:w="0" w:type="dxa"/>
          </w:tblCellMar>
        </w:tblPrEx>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**Documentación**</w:t>
            </w:r>
          </w:p>
        </w:tc>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Garantizar la continuidad operativa y retención del conocimiento.</w:t>
            </w:r>
          </w:p>
        </w:tc>
      </w:tr>
      <w:tr w:rsidR="00A504E7" w:rsidTr="00A504E7">
        <w:tblPrEx>
          <w:tblCellMar>
            <w:top w:w="0" w:type="dxa"/>
            <w:bottom w:w="0" w:type="dxa"/>
          </w:tblCellMar>
        </w:tblPrEx>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**Estandarización**</w:t>
            </w:r>
          </w:p>
        </w:tc>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 de Proyectos Nuevos alineados a la Arquitectura Base</w:t>
            </w:r>
          </w:p>
        </w:tc>
        <w:tc>
          <w:tcPr>
            <w:tcW w:w="3119"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Garantizar código escalable, mantenible y homogéneo.</w:t>
            </w:r>
          </w:p>
        </w:tc>
      </w:tr>
      <w:tr w:rsidR="00A504E7" w:rsidTr="00A504E7">
        <w:tblPrEx>
          <w:tblCellMar>
            <w:top w:w="0" w:type="dxa"/>
            <w:bottom w:w="0" w:type="dxa"/>
          </w:tblCellMar>
        </w:tblPrEx>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**Eficiencia Procesal**</w:t>
            </w:r>
          </w:p>
        </w:tc>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 xml:space="preserve">*Lead Time* de Desarrollo (Solicitud </w:t>
            </w:r>
            <w:r w:rsidRPr="00A504E7">
              <w:rPr>
                <w:rFonts w:ascii="Segoe UI Symbol" w:hAnsi="Segoe UI Symbol" w:cs="Segoe UI Symbol"/>
                <w:color w:val="222222"/>
                <w:sz w:val="18"/>
              </w:rPr>
              <w:t>➔</w:t>
            </w:r>
            <w:r w:rsidRPr="00A504E7">
              <w:rPr>
                <w:rFonts w:ascii="Arial" w:hAnsi="Arial" w:cs="Arial"/>
                <w:color w:val="222222"/>
                <w:sz w:val="18"/>
              </w:rPr>
              <w:t xml:space="preserve"> Entrega a Redes)</w:t>
            </w:r>
          </w:p>
        </w:tc>
        <w:tc>
          <w:tcPr>
            <w:tcW w:w="3119"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Reducir los tiempos de entrega mediante priorización ágil.</w:t>
            </w:r>
          </w:p>
        </w:tc>
      </w:tr>
      <w:tr w:rsidR="00A504E7" w:rsidTr="00A504E7">
        <w:tblPrEx>
          <w:tblCellMar>
            <w:top w:w="0" w:type="dxa"/>
            <w:bottom w:w="0" w:type="dxa"/>
          </w:tblCellMar>
        </w:tblPrEx>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**Calidad de Entrega**</w:t>
            </w:r>
          </w:p>
        </w:tc>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Tasa de Defectos Reportados en Post-Producción</w:t>
            </w:r>
          </w:p>
        </w:tc>
        <w:tc>
          <w:tcPr>
            <w:tcW w:w="3119"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Reducir fallas mediante el cumplimiento de buenas prácticas.</w:t>
            </w:r>
          </w:p>
        </w:tc>
      </w:tr>
      <w:tr w:rsidR="00A504E7" w:rsidTr="00A504E7">
        <w:tblPrEx>
          <w:tblCellMar>
            <w:top w:w="0" w:type="dxa"/>
            <w:bottom w:w="0" w:type="dxa"/>
          </w:tblCellMar>
        </w:tblPrEx>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**Control de Terceros**</w:t>
            </w:r>
          </w:p>
        </w:tc>
        <w:tc>
          <w:tcPr>
            <w:tcW w:w="3118"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Asegurar la entrega de código fuente y documentación por proveedores.</w:t>
            </w:r>
          </w:p>
        </w:tc>
      </w:tr>
      <w:tr w:rsidR="00A504E7" w:rsidTr="00A504E7">
        <w:tblPrEx>
          <w:tblCellMar>
            <w:top w:w="0" w:type="dxa"/>
            <w:bottom w:w="0" w:type="dxa"/>
          </w:tblCellMar>
        </w:tblPrEx>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**Uso de IA**</w:t>
            </w:r>
          </w:p>
        </w:tc>
        <w:tc>
          <w:tcPr>
            <w:tcW w:w="3118"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Evaluación e Integración de Herramientas de IA</w:t>
            </w:r>
          </w:p>
        </w:tc>
        <w:tc>
          <w:tcPr>
            <w:tcW w:w="3119" w:type="dxa"/>
            <w:shd w:val="clear" w:color="auto" w:fill="F5F5F5"/>
          </w:tcPr>
          <w:p w:rsidR="00A504E7" w:rsidRPr="00A504E7" w:rsidRDefault="00A504E7" w:rsidP="00A504E7">
            <w:pPr>
              <w:spacing w:before="120" w:after="20" w:line="240" w:lineRule="auto"/>
              <w:rPr>
                <w:rFonts w:ascii="Arial" w:hAnsi="Arial" w:cs="Arial"/>
                <w:color w:val="222222"/>
                <w:sz w:val="18"/>
              </w:rPr>
            </w:pPr>
            <w:r w:rsidRPr="00A504E7">
              <w:rPr>
                <w:rFonts w:ascii="Arial" w:hAnsi="Arial" w:cs="Arial"/>
                <w:color w:val="222222"/>
                <w:sz w:val="18"/>
              </w:rPr>
              <w:t>Aumentar la productividad del departamento resguardando los datos.</w:t>
            </w:r>
          </w:p>
        </w:tc>
      </w:tr>
    </w:tbl>
    <w:p w:rsidR="00A504E7" w:rsidRDefault="00A504E7" w:rsidP="00A504E7">
      <w:pPr>
        <w:spacing w:before="120" w:after="20" w:line="240" w:lineRule="auto"/>
        <w:rPr>
          <w:rFonts w:ascii="Arial" w:hAnsi="Arial" w:cs="Arial"/>
          <w:b/>
          <w:color w:val="111111"/>
        </w:rPr>
      </w:pP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A504E7" w:rsidRDefault="00A504E7" w:rsidP="00A504E7">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A504E7" w:rsidRDefault="00A504E7" w:rsidP="00A504E7">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A504E7" w:rsidRDefault="00A504E7" w:rsidP="00A504E7">
      <w:pPr>
        <w:spacing w:before="280" w:after="80" w:line="240" w:lineRule="auto"/>
        <w:rPr>
          <w:rFonts w:ascii="Arial" w:hAnsi="Arial" w:cs="Arial"/>
          <w:b/>
          <w:color w:val="1B365D"/>
          <w:sz w:val="26"/>
        </w:rPr>
      </w:pPr>
      <w:r>
        <w:rPr>
          <w:rFonts w:ascii="Arial" w:hAnsi="Arial" w:cs="Arial"/>
          <w:b/>
          <w:color w:val="1B365D"/>
          <w:sz w:val="26"/>
        </w:rPr>
        <w:t>10. Conclusiones</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A504E7" w:rsidRDefault="00A504E7" w:rsidP="00A504E7">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A504E7" w:rsidRPr="00A504E7" w:rsidRDefault="00A504E7" w:rsidP="00A504E7">
      <w:pPr>
        <w:spacing w:before="40" w:after="120" w:line="240" w:lineRule="auto"/>
        <w:jc w:val="both"/>
        <w:rPr>
          <w:rFonts w:ascii="Arial" w:hAnsi="Arial" w:cs="Arial"/>
          <w:color w:val="111111"/>
        </w:rPr>
      </w:pPr>
      <w:bookmarkStart w:id="0" w:name="_GoBack"/>
      <w:bookmarkEnd w:id="0"/>
    </w:p>
    <w:sectPr w:rsidR="00A504E7" w:rsidRPr="00A504E7" w:rsidSect="00A504E7">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04E7" w:rsidRDefault="00A504E7" w:rsidP="00A504E7">
      <w:pPr>
        <w:spacing w:after="0" w:line="240" w:lineRule="auto"/>
      </w:pPr>
      <w:r>
        <w:separator/>
      </w:r>
    </w:p>
  </w:endnote>
  <w:endnote w:type="continuationSeparator" w:id="0">
    <w:p w:rsidR="00A504E7" w:rsidRDefault="00A504E7" w:rsidP="00A50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Default="00A504E7">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Pr="00A504E7" w:rsidRDefault="00A504E7" w:rsidP="00A504E7">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Default="00A504E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04E7" w:rsidRDefault="00A504E7" w:rsidP="00A504E7">
      <w:pPr>
        <w:spacing w:after="0" w:line="240" w:lineRule="auto"/>
      </w:pPr>
      <w:r>
        <w:separator/>
      </w:r>
    </w:p>
  </w:footnote>
  <w:footnote w:type="continuationSeparator" w:id="0">
    <w:p w:rsidR="00A504E7" w:rsidRDefault="00A504E7" w:rsidP="00A504E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Default="00A504E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Pr="00A504E7" w:rsidRDefault="00A504E7" w:rsidP="00A504E7">
    <w:pPr>
      <w:pStyle w:val="Encabezado"/>
      <w:jc w:val="right"/>
      <w:rPr>
        <w:rFonts w:ascii="Arial" w:hAnsi="Arial" w:cs="Arial"/>
        <w:color w:val="777777"/>
        <w:sz w:val="17"/>
      </w:rPr>
    </w:pPr>
    <w:r w:rsidRPr="00A504E7">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04E7" w:rsidRDefault="00A504E7">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4E7"/>
    <w:rsid w:val="003C5AAE"/>
    <w:rsid w:val="00A504E7"/>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609D040-6E76-4C27-974D-328C8963D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504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504E7"/>
  </w:style>
  <w:style w:type="paragraph" w:styleId="Piedepgina">
    <w:name w:val="footer"/>
    <w:basedOn w:val="Normal"/>
    <w:link w:val="PiedepginaCar"/>
    <w:uiPriority w:val="99"/>
    <w:unhideWhenUsed/>
    <w:rsid w:val="00A504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504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3260</Words>
  <Characters>17930</Characters>
  <Application>Microsoft Office Word</Application>
  <DocSecurity>0</DocSecurity>
  <Lines>149</Lines>
  <Paragraphs>42</Paragraphs>
  <ScaleCrop>false</ScaleCrop>
  <Company/>
  <LinksUpToDate>false</LinksUpToDate>
  <CharactersWithSpaces>21148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2026-07-27T16:03:00Z</dcterms:created>
  <dcterms:modified xsi:type="dcterms:W3CDTF">2026-07-27T16:03:00Z</dcterms:modified>
</cp:coreProperties>
</file>