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53CAA" w:rsidRDefault="00353CAA" w:rsidP="00353CAA">
      <w:pPr>
        <w:jc w:val="center"/>
        <w:rPr>
          <w:rFonts w:ascii="Arial" w:hAnsi="Arial" w:cs="Arial"/>
          <w:b/>
          <w:color w:val="555555"/>
          <w:sz w:val="24"/>
        </w:rPr>
      </w:pPr>
      <w:r>
        <w:rPr>
          <w:rFonts w:ascii="Arial" w:hAnsi="Arial" w:cs="Arial"/>
          <w:b/>
          <w:color w:val="555555"/>
          <w:sz w:val="24"/>
        </w:rPr>
        <w:t>MUNICIPALIDAD DE GENERAL PUEYRREDON</w:t>
      </w:r>
    </w:p>
    <w:p w:rsidR="00353CAA" w:rsidRDefault="00353CAA" w:rsidP="00353CAA">
      <w:pPr>
        <w:jc w:val="center"/>
        <w:rPr>
          <w:rFonts w:ascii="Arial" w:hAnsi="Arial" w:cs="Arial"/>
          <w:b/>
          <w:color w:val="555555"/>
          <w:sz w:val="24"/>
        </w:rPr>
      </w:pPr>
      <w:r>
        <w:rPr>
          <w:rFonts w:ascii="Arial" w:hAnsi="Arial" w:cs="Arial"/>
          <w:b/>
          <w:color w:val="555555"/>
          <w:sz w:val="24"/>
        </w:rPr>
        <w:t>SECRETARIA DE PARTICIPACION CIUDADANA Y DESCENTRALIZACION</w:t>
      </w:r>
    </w:p>
    <w:p w:rsidR="00353CAA" w:rsidRDefault="00353CAA" w:rsidP="00353CAA">
      <w:pPr>
        <w:jc w:val="center"/>
        <w:rPr>
          <w:rFonts w:ascii="Arial" w:hAnsi="Arial" w:cs="Arial"/>
          <w:b/>
          <w:color w:val="555555"/>
          <w:sz w:val="24"/>
        </w:rPr>
      </w:pPr>
      <w:r>
        <w:rPr>
          <w:rFonts w:ascii="Arial" w:hAnsi="Arial" w:cs="Arial"/>
          <w:b/>
          <w:color w:val="555555"/>
          <w:sz w:val="24"/>
        </w:rPr>
        <w:t>SUBSECRETARIA DE GOBIERNO DIGITAL Y MEJORA DE PROCESOS</w:t>
      </w:r>
    </w:p>
    <w:p w:rsidR="00353CAA" w:rsidRDefault="00353CAA" w:rsidP="00353CAA">
      <w:pPr>
        <w:jc w:val="center"/>
        <w:rPr>
          <w:rFonts w:ascii="Arial" w:hAnsi="Arial" w:cs="Arial"/>
          <w:b/>
          <w:color w:val="555555"/>
          <w:sz w:val="24"/>
        </w:rPr>
      </w:pPr>
    </w:p>
    <w:p w:rsidR="00353CAA" w:rsidRDefault="00353CAA" w:rsidP="00353CAA">
      <w:pPr>
        <w:jc w:val="center"/>
        <w:rPr>
          <w:rFonts w:ascii="Arial" w:hAnsi="Arial" w:cs="Arial"/>
          <w:color w:val="333333"/>
        </w:rPr>
      </w:pPr>
      <w:r>
        <w:rPr>
          <w:rFonts w:ascii="Arial" w:hAnsi="Arial" w:cs="Arial"/>
          <w:color w:val="333333"/>
        </w:rPr>
        <w:t>Concurso Interno de Oposicion y Antecedentes</w:t>
      </w:r>
    </w:p>
    <w:p w:rsidR="00353CAA" w:rsidRDefault="00353CAA" w:rsidP="00353CAA">
      <w:pPr>
        <w:jc w:val="center"/>
        <w:rPr>
          <w:rFonts w:ascii="Arial" w:hAnsi="Arial" w:cs="Arial"/>
          <w:b/>
          <w:color w:val="333333"/>
        </w:rPr>
      </w:pPr>
      <w:r>
        <w:rPr>
          <w:rFonts w:ascii="Arial" w:hAnsi="Arial" w:cs="Arial"/>
          <w:b/>
          <w:color w:val="333333"/>
        </w:rPr>
        <w:t>CARGO: JEFE DE DEPARTAMENTO DE GESTION, DESARROLLO E INNOVACION EN SISTEMAS DE SOFTWARE</w:t>
      </w:r>
    </w:p>
    <w:p w:rsidR="00353CAA" w:rsidRDefault="00353CAA" w:rsidP="00353CAA">
      <w:pPr>
        <w:jc w:val="center"/>
        <w:rPr>
          <w:rFonts w:ascii="Arial" w:hAnsi="Arial" w:cs="Arial"/>
          <w:b/>
          <w:color w:val="333333"/>
        </w:rPr>
      </w:pPr>
      <w:r>
        <w:rPr>
          <w:rFonts w:ascii="Arial" w:hAnsi="Arial" w:cs="Arial"/>
          <w:b/>
          <w:color w:val="333333"/>
        </w:rPr>
        <w:t>C.F. 1-31-00-01 | N de Orden 6733</w:t>
      </w:r>
    </w:p>
    <w:p w:rsidR="00353CAA" w:rsidRDefault="00353CAA" w:rsidP="00353CAA">
      <w:pPr>
        <w:jc w:val="center"/>
        <w:rPr>
          <w:rFonts w:ascii="Arial" w:hAnsi="Arial" w:cs="Arial"/>
          <w:b/>
          <w:color w:val="333333"/>
        </w:rPr>
      </w:pPr>
    </w:p>
    <w:p w:rsidR="00353CAA" w:rsidRDefault="00353CAA" w:rsidP="00353CAA">
      <w:pPr>
        <w:jc w:val="center"/>
        <w:rPr>
          <w:rFonts w:ascii="Arial" w:hAnsi="Arial" w:cs="Arial"/>
          <w:b/>
          <w:color w:val="333333"/>
        </w:rPr>
      </w:pPr>
    </w:p>
    <w:p w:rsidR="00353CAA" w:rsidRDefault="00353CAA" w:rsidP="00353CAA">
      <w:pPr>
        <w:jc w:val="center"/>
        <w:rPr>
          <w:rFonts w:ascii="Arial" w:hAnsi="Arial" w:cs="Arial"/>
          <w:b/>
          <w:color w:val="1B365D"/>
          <w:sz w:val="44"/>
        </w:rPr>
      </w:pPr>
      <w:r>
        <w:rPr>
          <w:rFonts w:ascii="Arial" w:hAnsi="Arial" w:cs="Arial"/>
          <w:b/>
          <w:color w:val="1B365D"/>
          <w:sz w:val="44"/>
        </w:rPr>
        <w:t>PLAN DE TRABAJO</w:t>
      </w:r>
    </w:p>
    <w:p w:rsidR="00353CAA" w:rsidRDefault="00353CAA" w:rsidP="00353CAA">
      <w:pPr>
        <w:jc w:val="center"/>
        <w:rPr>
          <w:rFonts w:ascii="Arial" w:hAnsi="Arial" w:cs="Arial"/>
          <w:b/>
          <w:color w:val="1B365D"/>
          <w:sz w:val="44"/>
        </w:rPr>
      </w:pPr>
    </w:p>
    <w:p w:rsidR="00353CAA" w:rsidRDefault="00353CAA" w:rsidP="00353CAA">
      <w:pPr>
        <w:jc w:val="center"/>
        <w:rPr>
          <w:rFonts w:ascii="Arial" w:hAnsi="Arial" w:cs="Arial"/>
          <w:b/>
          <w:i/>
          <w:color w:val="222222"/>
          <w:sz w:val="24"/>
        </w:rPr>
      </w:pPr>
      <w:r>
        <w:rPr>
          <w:rFonts w:ascii="Arial" w:hAnsi="Arial" w:cs="Arial"/>
          <w:b/>
          <w:i/>
          <w:color w:val="222222"/>
          <w:sz w:val="24"/>
        </w:rPr>
        <w:t>Diagnostico Integral y Propuesta de Mejora para el Funcionamiento del Departamento de Gestion, Desarrollo e Innovacion en Sistemas de Software: Optimizacion con Recursos Actuales y Proyeccion con Incorporacion de Recursos</w:t>
      </w:r>
    </w:p>
    <w:p w:rsidR="00353CAA" w:rsidRDefault="00353CAA" w:rsidP="00353CAA">
      <w:pPr>
        <w:jc w:val="center"/>
        <w:rPr>
          <w:rFonts w:ascii="Arial" w:hAnsi="Arial" w:cs="Arial"/>
          <w:b/>
          <w:i/>
          <w:color w:val="222222"/>
          <w:sz w:val="24"/>
        </w:rPr>
      </w:pPr>
    </w:p>
    <w:p w:rsidR="00353CAA" w:rsidRDefault="00353CAA" w:rsidP="00353CAA">
      <w:pPr>
        <w:jc w:val="center"/>
        <w:rPr>
          <w:rFonts w:ascii="Arial" w:hAnsi="Arial" w:cs="Arial"/>
          <w:i/>
          <w:color w:val="666666"/>
          <w:sz w:val="20"/>
        </w:rPr>
      </w:pPr>
      <w:r>
        <w:rPr>
          <w:rFonts w:ascii="Arial" w:hAnsi="Arial" w:cs="Arial"/>
          <w:i/>
          <w:color w:val="666666"/>
          <w:sz w:val="20"/>
        </w:rPr>
        <w:t>"Optimizando los procedimientos organizacionales como columna vertebral para asegurar un software escalable, seguro y sostenible"</w:t>
      </w:r>
    </w:p>
    <w:p w:rsidR="00353CAA" w:rsidRDefault="00353CAA" w:rsidP="00353CAA">
      <w:pPr>
        <w:jc w:val="center"/>
        <w:rPr>
          <w:rFonts w:ascii="Arial" w:hAnsi="Arial" w:cs="Arial"/>
          <w:i/>
          <w:color w:val="666666"/>
          <w:sz w:val="20"/>
        </w:rPr>
      </w:pPr>
    </w:p>
    <w:p w:rsidR="00353CAA" w:rsidRDefault="00353CAA" w:rsidP="00353CAA">
      <w:pPr>
        <w:jc w:val="center"/>
        <w:rPr>
          <w:rFonts w:ascii="Arial" w:hAnsi="Arial" w:cs="Arial"/>
          <w:i/>
          <w:color w:val="666666"/>
          <w:sz w:val="20"/>
        </w:rPr>
      </w:pPr>
    </w:p>
    <w:p w:rsidR="00353CAA" w:rsidRDefault="00353CAA" w:rsidP="00353CAA">
      <w:pPr>
        <w:jc w:val="center"/>
        <w:rPr>
          <w:rFonts w:ascii="Arial" w:hAnsi="Arial" w:cs="Arial"/>
          <w:i/>
          <w:color w:val="666666"/>
          <w:sz w:val="20"/>
        </w:rPr>
      </w:pPr>
    </w:p>
    <w:p w:rsidR="00353CAA" w:rsidRDefault="00353CAA" w:rsidP="00353CAA">
      <w:pPr>
        <w:jc w:val="center"/>
        <w:rPr>
          <w:rFonts w:ascii="Arial" w:hAnsi="Arial" w:cs="Arial"/>
          <w:i/>
          <w:color w:val="666666"/>
          <w:sz w:val="20"/>
        </w:rPr>
      </w:pPr>
    </w:p>
    <w:p w:rsidR="00353CAA" w:rsidRDefault="00353CAA" w:rsidP="00353CAA">
      <w:pPr>
        <w:rPr>
          <w:rFonts w:ascii="Arial" w:hAnsi="Arial" w:cs="Arial"/>
          <w:color w:val="000000"/>
        </w:rPr>
      </w:pPr>
      <w:r>
        <w:rPr>
          <w:rFonts w:ascii="Arial" w:hAnsi="Arial" w:cs="Arial"/>
          <w:b/>
          <w:color w:val="000000"/>
        </w:rPr>
        <w:t>Postulante:</w:t>
      </w:r>
      <w:r>
        <w:rPr>
          <w:rFonts w:ascii="Arial" w:hAnsi="Arial" w:cs="Arial"/>
          <w:b/>
          <w:color w:val="000000"/>
        </w:rPr>
        <w:tab/>
      </w:r>
      <w:r>
        <w:rPr>
          <w:rFonts w:ascii="Arial" w:hAnsi="Arial" w:cs="Arial"/>
          <w:b/>
          <w:color w:val="000000"/>
        </w:rPr>
        <w:tab/>
      </w:r>
      <w:r>
        <w:rPr>
          <w:rFonts w:ascii="Arial" w:hAnsi="Arial" w:cs="Arial"/>
          <w:color w:val="000000"/>
        </w:rPr>
        <w:t>Guido Cassulo</w:t>
      </w:r>
    </w:p>
    <w:p w:rsidR="00353CAA" w:rsidRDefault="00353CAA" w:rsidP="00353CAA">
      <w:pPr>
        <w:rPr>
          <w:rFonts w:ascii="Arial" w:hAnsi="Arial" w:cs="Arial"/>
          <w:color w:val="000000"/>
        </w:rPr>
      </w:pPr>
      <w:r>
        <w:rPr>
          <w:rFonts w:ascii="Arial" w:hAnsi="Arial" w:cs="Arial"/>
          <w:b/>
          <w:color w:val="000000"/>
        </w:rPr>
        <w:t>Legajo N:</w:t>
      </w:r>
      <w:r>
        <w:rPr>
          <w:rFonts w:ascii="Arial" w:hAnsi="Arial" w:cs="Arial"/>
          <w:b/>
          <w:color w:val="000000"/>
        </w:rPr>
        <w:tab/>
      </w:r>
      <w:r>
        <w:rPr>
          <w:rFonts w:ascii="Arial" w:hAnsi="Arial" w:cs="Arial"/>
          <w:b/>
          <w:color w:val="000000"/>
        </w:rPr>
        <w:tab/>
      </w:r>
      <w:r>
        <w:rPr>
          <w:rFonts w:ascii="Arial" w:hAnsi="Arial" w:cs="Arial"/>
          <w:color w:val="000000"/>
        </w:rPr>
        <w:t>[Completar Legajo]</w:t>
      </w:r>
    </w:p>
    <w:p w:rsidR="00353CAA" w:rsidRDefault="00353CAA" w:rsidP="00353CAA">
      <w:pPr>
        <w:rPr>
          <w:rFonts w:ascii="Arial" w:hAnsi="Arial" w:cs="Arial"/>
          <w:color w:val="000000"/>
        </w:rPr>
      </w:pPr>
      <w:r>
        <w:rPr>
          <w:rFonts w:ascii="Arial" w:hAnsi="Arial" w:cs="Arial"/>
          <w:b/>
          <w:color w:val="000000"/>
        </w:rPr>
        <w:t>Cargo Actual:</w:t>
      </w:r>
      <w:r>
        <w:rPr>
          <w:rFonts w:ascii="Arial" w:hAnsi="Arial" w:cs="Arial"/>
          <w:b/>
          <w:color w:val="000000"/>
        </w:rPr>
        <w:tab/>
      </w:r>
      <w:r>
        <w:rPr>
          <w:rFonts w:ascii="Arial" w:hAnsi="Arial" w:cs="Arial"/>
          <w:b/>
          <w:color w:val="000000"/>
        </w:rPr>
        <w:tab/>
      </w:r>
      <w:r>
        <w:rPr>
          <w:rFonts w:ascii="Arial" w:hAnsi="Arial" w:cs="Arial"/>
          <w:color w:val="000000"/>
        </w:rPr>
        <w:t>Analista Programador / Personal de Software</w:t>
      </w:r>
    </w:p>
    <w:p w:rsidR="00353CAA" w:rsidRDefault="00353CAA" w:rsidP="00353CAA">
      <w:pPr>
        <w:rPr>
          <w:rFonts w:ascii="Arial" w:hAnsi="Arial" w:cs="Arial"/>
          <w:color w:val="000000"/>
        </w:rPr>
      </w:pPr>
    </w:p>
    <w:p w:rsidR="00353CAA" w:rsidRDefault="00353CAA" w:rsidP="00353CAA">
      <w:pPr>
        <w:rPr>
          <w:rFonts w:ascii="Arial" w:hAnsi="Arial" w:cs="Arial"/>
          <w:color w:val="000000"/>
        </w:rPr>
      </w:pPr>
    </w:p>
    <w:p w:rsidR="00353CAA" w:rsidRDefault="00353CAA" w:rsidP="00353CAA">
      <w:pPr>
        <w:jc w:val="center"/>
        <w:rPr>
          <w:rFonts w:ascii="Arial" w:hAnsi="Arial" w:cs="Arial"/>
          <w:color w:val="555555"/>
          <w:sz w:val="20"/>
        </w:rPr>
      </w:pPr>
      <w:r>
        <w:rPr>
          <w:rFonts w:ascii="Arial" w:hAnsi="Arial" w:cs="Arial"/>
          <w:color w:val="555555"/>
          <w:sz w:val="20"/>
        </w:rPr>
        <w:t>Mar del Plata, Julio de 2026</w:t>
      </w:r>
    </w:p>
    <w:p w:rsidR="00353CAA" w:rsidRDefault="00353CAA">
      <w:pPr>
        <w:rPr>
          <w:rFonts w:ascii="Arial" w:hAnsi="Arial" w:cs="Arial"/>
          <w:color w:val="555555"/>
          <w:sz w:val="20"/>
        </w:rPr>
      </w:pPr>
      <w:r>
        <w:rPr>
          <w:rFonts w:ascii="Arial" w:hAnsi="Arial" w:cs="Arial"/>
          <w:color w:val="555555"/>
          <w:sz w:val="20"/>
        </w:rPr>
        <w:br w:type="page"/>
      </w:r>
    </w:p>
    <w:p w:rsidR="009D2519" w:rsidRDefault="00353CAA" w:rsidP="00353CAA">
      <w:pPr>
        <w:spacing w:before="60" w:after="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lastRenderedPageBreak/>
        <w:t>**Diagnóstico Integral y Propuesta de Mejora para el Funcionamiento del Departamento de Gestión, Desarrollo e Innovación en Sistemas de Software: Optimización con recursos actuales y Proyección con incorporación de Recursos.**</w:t>
      </w:r>
    </w:p>
    <w:p w:rsidR="00353CAA" w:rsidRDefault="00353CAA" w:rsidP="00353CAA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1. Abordaje</w:t>
      </w:r>
    </w:p>
    <w:p w:rsidR="00353CAA" w:rsidRDefault="00353CAA" w:rsidP="00353CAA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El presente plan de trabajo se estructura en torno a una premisa fundamental: el Departamento de Gestión, Desarrollo e Innovación en Sistemas de Software no debe limitarse a actuar como una "fábrica de código" reactiva, sino consolidarse como el motor estratégico para la modernización de la gestión municipal.</w:t>
      </w:r>
    </w:p>
    <w:p w:rsidR="00353CAA" w:rsidRDefault="00353CAA" w:rsidP="00353CAA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Atendiendo al perfil del cargo concursado, el abordaje central radica en **optimizar los procedimientos organizacionales** para transformarlos en la columna vertebral del departamento. Esta estructuración procedimental es el paso ineludible para asegurar que el software municipal trascienda la mera funcionalidad operativa y pase a ser intrínsecamente **escalable, seguro y capaz de responder con agilidad a las necesidades de las diferentes gestiones, tanto presentes como futuras.**</w:t>
      </w:r>
    </w:p>
    <w:p w:rsidR="00353CAA" w:rsidRDefault="00353CAA" w:rsidP="00353CAA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2. Introducción</w:t>
      </w:r>
    </w:p>
    <w:p w:rsidR="00353CAA" w:rsidRDefault="00353CAA" w:rsidP="00353CAA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El Departamento enfrenta el desafío de administrar un ecosistema tecnológico heterogéneo que combina aplicaciones heredadas (*legacy*) con soluciones modernas, operando con una dotación de personal acotada y distribuida en distintas dependencias físicas. Para dar respuesta a las crecientes demandas de digitalización municipal, la Jefatura debe orquestar estos recursos con una visión gerencial y pragmática.</w:t>
      </w:r>
    </w:p>
    <w:p w:rsidR="00353CAA" w:rsidRDefault="00353CAA" w:rsidP="00353CAA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El plan se divide metodológicamente en:</w:t>
      </w:r>
    </w:p>
    <w:p w:rsidR="00353CAA" w:rsidRDefault="00353CAA" w:rsidP="00353CAA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1. **Un Diagnóstico Integral (FODA):** Identificación de fortalezas, cuellos de botella y deudas técnicas reales.</w:t>
      </w:r>
    </w:p>
    <w:p w:rsidR="00353CAA" w:rsidRDefault="00353CAA" w:rsidP="00353CAA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2. **Definición de Objetivos Estratégicos:** Alineados a la gobernanza del software municipal.</w:t>
      </w:r>
    </w:p>
    <w:p w:rsidR="00353CAA" w:rsidRDefault="00353CAA" w:rsidP="00353CAA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3. **Propuestas de Optimización con Recursos Actuales (Escenario REAL - Costo $0):** Centradas en la agilidad adaptativa, estandarización de arquitectura y buenas prácticas.</w:t>
      </w:r>
    </w:p>
    <w:p w:rsidR="00353CAA" w:rsidRDefault="00353CAA" w:rsidP="00353CAA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4. **Proyección con Incorporación de Recursos (Escenario IDEAL - Con Presupuesto):** Inversión escalonada en herramientas tecnológicas, capacitación formal y licencias.</w:t>
      </w:r>
    </w:p>
    <w:p w:rsidR="00353CAA" w:rsidRDefault="00353CAA" w:rsidP="00353CAA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5. **Modelo de Gestión, Implementación por Etapas e Indicadores:** Hoja de ruta por fases y métricas de riesgo operacional.</w:t>
      </w:r>
    </w:p>
    <w:p w:rsidR="00353CAA" w:rsidRDefault="00353CAA" w:rsidP="00353CAA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3. Diagnóstico (Análisis FODA)</w:t>
      </w:r>
    </w:p>
    <w:p w:rsidR="00353CAA" w:rsidRDefault="00353CAA" w:rsidP="00353CAA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Fortalezas</w:t>
      </w:r>
    </w:p>
    <w:p w:rsidR="00353CAA" w:rsidRDefault="00353CAA" w:rsidP="00353CAA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**Conocimiento Profundo del Negocio Municipal:** El personal posee un dominio valioso de las normativas, circuitos administrativos, trámites y reglas operativas de la administración pública local.</w:t>
      </w:r>
    </w:p>
    <w:p w:rsidR="00353CAA" w:rsidRDefault="00353CAA" w:rsidP="00353CAA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**Bases Tecnológicas e Iniciativas Existentes:** Existencia de herramientas consolidadas (repositorios en GitLab, seguimiento en Redmine, entornos dockerizados en ciertos proyectos) y el desarrollo interno de un *template* de arquitectura base en evolución.</w:t>
      </w:r>
    </w:p>
    <w:p w:rsidR="00353CAA" w:rsidRDefault="00353CAA" w:rsidP="00353CAA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Debilidades</w:t>
      </w:r>
    </w:p>
    <w:p w:rsidR="00353CAA" w:rsidRDefault="00353CAA" w:rsidP="00353CAA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**Fragmentación Tecnológica y Desintegración Arquitectónica:** Coexistencia caótica de tecnologías obsoletas (WebForms con SQL 2005) junto a tecnologías modernas (.NET, React, Angular, PHP, PostgreSQL). Aunque existe un *template* de arquitectura base, su uso no ha sido obligatorio ni uniforme.</w:t>
      </w:r>
    </w:p>
    <w:p w:rsidR="00353CAA" w:rsidRDefault="00353CAA" w:rsidP="00353CAA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**Multitarea Extrema y Conocimiento Concentrado (*Single Point of Failure*):** La escasa dotación frente a la alta demanda obliga al personal a atender simultáneamente emergencias *legacy* de diversas áreas y desarrollos nuevos. Esto genera saltos de contexto constantes y un alto riesgo operativo: la existencia de sistemas críticos que dependen del conocimiento exclusivo de una sola persona.</w:t>
      </w:r>
    </w:p>
    <w:p w:rsidR="00353CAA" w:rsidRDefault="00353CAA" w:rsidP="00353CAA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**Aislamiento Operativo entre Dependencias:** La distribución física del personal en dos oficinas distintas genera descoordinación, aislamiento en silos de información y el riesgo de desarrollar funcionalidades duplicadas por falta de comunicación.</w:t>
      </w:r>
    </w:p>
    <w:p w:rsidR="00353CAA" w:rsidRDefault="00353CAA" w:rsidP="00353CAA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**Seguimiento y Estimación Caóticos:** Uso fragmentado de herramientas (algunos agentes usan Redmine, otros planillas desactualizadas en Excel o registros informales), impidiendo conocer la capacidad operativa real del departamento.</w:t>
      </w:r>
    </w:p>
    <w:p w:rsidR="00353CAA" w:rsidRDefault="00353CAA" w:rsidP="00353CAA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**Documentación Inexistente o Desigual:** Falta de manuales técnicos, diccionarios de datos o registros de arquitectura, lo que profundiza la dependencia de programadores específicos.</w:t>
      </w:r>
    </w:p>
    <w:p w:rsidR="00353CAA" w:rsidRDefault="00353CAA" w:rsidP="00353CAA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**Ausencia de Gobierno Técnico sobre Proveedores Externos:** Los desarrollos contratados a terceros corren el riesgo de entregarse sin documentación suficiente, sin transferir el conocimiento o sin alinearse con los estándares municipales.</w:t>
      </w:r>
    </w:p>
    <w:p w:rsidR="00353CAA" w:rsidRDefault="00353CAA" w:rsidP="00353CAA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**Pruebas de Software Reactivas:** Al no existir el rol de QA en el organigrama municipal (ni la posibilidad de crear nuevos cargos en el escalafón), la verificación de errores depende del propio desarrollador o salta en post-producción reportada por el usuario.</w:t>
      </w:r>
    </w:p>
    <w:p w:rsidR="00353CAA" w:rsidRDefault="00353CAA" w:rsidP="00353CAA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**Uso de IA Informal e Inseguro:** La utilización de herramientas de IA se da por iniciativa personal, sin licencias institucionales y sin pautas claras de seguridad sobre la protección de datos sensibles municipales.</w:t>
      </w:r>
    </w:p>
    <w:p w:rsidR="00353CAA" w:rsidRDefault="00353CAA" w:rsidP="00353CAA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Oportunidades</w:t>
      </w:r>
    </w:p>
    <w:p w:rsidR="00353CAA" w:rsidRDefault="00353CAA" w:rsidP="00353CAA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**Adopción de Marcos Ágiles Híbridos:** Implementación de metodologías ágiles adaptadas a la realidad municipal a costo cero.</w:t>
      </w:r>
    </w:p>
    <w:p w:rsidR="00353CAA" w:rsidRDefault="00353CAA" w:rsidP="00353CAA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**Estandarización mediante la Arquitectura Base:** Consolidar el *template* preexistente como norma obligatoria para todos los desarrollos.</w:t>
      </w:r>
    </w:p>
    <w:p w:rsidR="00353CAA" w:rsidRDefault="00353CAA" w:rsidP="00353CAA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Amenazas</w:t>
      </w:r>
    </w:p>
    <w:p w:rsidR="00353CAA" w:rsidRDefault="00353CAA" w:rsidP="00353CAA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**Cambios Rápidos en Demandas de Gestión:** Necesidad de acelerar entregas sin comprometer la seguridad ni la mantenibilidad.</w:t>
      </w:r>
    </w:p>
    <w:p w:rsidR="00353CAA" w:rsidRDefault="00353CAA" w:rsidP="00353CAA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**Riesgos de Ciberseguridad y Fuga de Datos:** Vulnerabilidades en código heredado o uso inadvertido de IA pública compartiendo datos institucionales.</w:t>
      </w:r>
    </w:p>
    <w:p w:rsidR="00353CAA" w:rsidRDefault="00353CAA" w:rsidP="00353CAA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4. Objetivos</w:t>
      </w:r>
    </w:p>
    <w:p w:rsidR="00353CAA" w:rsidRDefault="00353CAA" w:rsidP="00353CAA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4.1. Objetivo General</w:t>
      </w:r>
    </w:p>
    <w:p w:rsidR="00353CAA" w:rsidRDefault="00353CAA" w:rsidP="00353CAA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Fortalecer la capacidad institucional del Departamento de Gestión, Desarrollo e Innovación en Sistemas de Software mediante una organización basada en equipos colaborativos, conocimiento compartido, procedimientos estandarizados y gobierno técnico, asegurando que el software municipal sea seguro, escalable y sostenible en el tiempo.</w:t>
      </w:r>
    </w:p>
    <w:p w:rsidR="00353CAA" w:rsidRDefault="00353CAA" w:rsidP="00353CAA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4.2. Objetivos Específicos</w:t>
      </w:r>
    </w:p>
    <w:p w:rsidR="00353CAA" w:rsidRDefault="00353CAA" w:rsidP="00353CAA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1. Estructurar un modelo de gestión ágil adaptativo (Kanban + Iteraciones) liderado activamente por la Jefatura.</w:t>
      </w:r>
    </w:p>
    <w:p w:rsidR="00353CAA" w:rsidRDefault="00353CAA" w:rsidP="00353CAA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2. Eliminar los puntos únicos de falla (*Single Point of Failure*) mediante la asignación de **Referentes Secundarios** en todos los sistemas críticos.</w:t>
      </w:r>
    </w:p>
    <w:p w:rsidR="00353CAA" w:rsidRDefault="00353CAA" w:rsidP="00353CAA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3. Desarticular el aislamiento operativo entre las oficinas físicas a través de canales de comunicación abierta y herramientas colaborativas.</w:t>
      </w:r>
    </w:p>
    <w:p w:rsidR="00353CAA" w:rsidRDefault="00353CAA" w:rsidP="00353CAA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4. Institucionalizar el uso obligatorio del *template* de arquitectura base municipal y guías de buenas prácticas de programación.</w:t>
      </w:r>
    </w:p>
    <w:p w:rsidR="00353CAA" w:rsidRDefault="00353CAA" w:rsidP="00353CAA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5. Establecer un protocolo estricto de **Gobierno Técnico de Proveedores Externos** para garantizar la soberanía del código y la documentación.</w:t>
      </w:r>
    </w:p>
    <w:p w:rsidR="00353CAA" w:rsidRDefault="00353CAA" w:rsidP="00353CAA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6. Regular el uso de Inteligencia Artificial mediante pautas de seguridad (escenario real) y proyectar licencias corporativas (escenario ideal).</w:t>
      </w:r>
    </w:p>
    <w:p w:rsidR="00353CAA" w:rsidRDefault="00353CAA" w:rsidP="00353CAA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5. Propuesta de Mejora y Optimización con Recursos Actuales (SIN PRESUPUESTO - Plan Realista)</w:t>
      </w:r>
    </w:p>
    <w:p w:rsidR="00353CAA" w:rsidRDefault="00353CAA" w:rsidP="00353CAA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Esta sección constituye el corazón operativo del plan a corto plazo. Agrupa todas las iniciativas procedimentales y organizacionales que se implementarán **utilizando exclusivamente el capital humano y las herramientas existentes (Costo $0)**, transformando los procedimientos en la columna vertebral del departamento:</w:t>
      </w:r>
    </w:p>
    <w:p w:rsidR="00353CAA" w:rsidRDefault="00353CAA" w:rsidP="00353CAA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1. Implementación de Agilidad Adaptativa y Liderazgo Híbrido de la Jefatura</w:t>
      </w:r>
    </w:p>
    <w:p w:rsidR="00353CAA" w:rsidRDefault="00353CAA" w:rsidP="00353CAA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**Modelo Híbrido (Kanban + Iteraciones Cortas):** Se aplicará *Kanban* para ordenar el mantenimiento continuo e incidencias de sistemas *legacy*, e *iteraciones cortas* (Sprints) para nuevos desarrollos. No se impondrá Scrum de forma rígida a todo el personal.</w:t>
      </w:r>
    </w:p>
    <w:p w:rsidR="00353CAA" w:rsidRDefault="00353CAA" w:rsidP="00353CAA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**El Jefe de Departamento como *Scrum Master Global* y Gestor Gerencial:** La Jefatura asumirá un doble rol activo:</w:t>
      </w:r>
    </w:p>
    <w:p w:rsidR="00353CAA" w:rsidRDefault="00353CAA" w:rsidP="00353CAA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*Como Scrum Master Global:* Orquestará operativamente las células, destrabará bloqueos diarios, facilitará la comunicación entre las dos oficinas físicas y **actuará como filtro coordinador para evitar el desarrollo de funcionalidades duplicadas**.</w:t>
      </w:r>
    </w:p>
    <w:p w:rsidR="00353CAA" w:rsidRDefault="00353CAA" w:rsidP="00353CAA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*Como Gestor Gerencial:* Evaluará el rendimiento global del departamento, medirá la capacidad operativa en Redmine y garantizará la alineación estratégica con las autoridades.</w:t>
      </w:r>
    </w:p>
    <w:p w:rsidR="00353CAA" w:rsidRDefault="00353CAA" w:rsidP="00353CAA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**El "Product Owner" Institucional:** El rol de *Product Owner* recaerá en los referentes o jefaturas de las Secretarías usuarias solicitantes, quienes serán responsables de priorizar su propio *Backlog* de necesidades.</w:t>
      </w:r>
    </w:p>
    <w:p w:rsidR="00353CAA" w:rsidRDefault="00353CAA" w:rsidP="00353CAA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2. Integración Operativa y Mitigación de Riesgos (Referentes Secundarios)</w:t>
      </w:r>
    </w:p>
    <w:p w:rsidR="00353CAA" w:rsidRDefault="00353CAA" w:rsidP="00353CAA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**Comunicación Abierta entre Oficinas:** Se mantendrá la distribución física en dos dependencias, pero se erradicará el aislamiento *operativo* mediante ceremonias ágiles conjuntas (Dailies de 15 min, Plannings) y uso unificado de repositorios.</w:t>
      </w:r>
    </w:p>
    <w:p w:rsidR="00353CAA" w:rsidRDefault="00353CAA" w:rsidP="00353CAA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**Asignación Dinámica y "Referentes Secundarios":** Para terminar con la dependencia de una sola persona en sistemas críticos, se implementará la figura del *Referente Secundario*. Mediante la asignación dinámica por fases (*shadowing* y capacitación cruzada), un programador acompañará al referente principal en tareas de mantenimiento y análisis, logrando la transferencia práctica del conocimiento sin tocar el escalafón.</w:t>
      </w:r>
    </w:p>
    <w:p w:rsidR="00353CAA" w:rsidRDefault="00353CAA" w:rsidP="00353CAA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3. Estandarización de Código y Buenas Prácticas (Sin Herramientas Automatizadas)</w:t>
      </w:r>
    </w:p>
    <w:p w:rsidR="00353CAA" w:rsidRDefault="00353CAA" w:rsidP="00353CAA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Dado que actualmente no se cuenta con herramientas de revisión automatizada y la revisión manual cruzada entre pares sobrecargaría a los programadores Senior, la calidad se asegurará **definiendo y exigiendo buenas prácticas de programación y guías de estilo obligatorias**.</w:t>
      </w:r>
    </w:p>
    <w:p w:rsidR="00353CAA" w:rsidRDefault="00353CAA" w:rsidP="00353CAA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**Obligatoriedad del Template de Arquitectura Base:** Se establecerá como norma inquebrantable que todo nuevo desarrollo o refactorización relevante deba construirse sobre la arquitectura base desarrollada en la Municipalidad. Ningún desarrollo nuevo podrá iniciarse en tecnologías obsoletas (*Congelamiento Legacy*).</w:t>
      </w:r>
    </w:p>
    <w:p w:rsidR="00353CAA" w:rsidRDefault="00353CAA" w:rsidP="00353CAA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4. Gobierno Técnico de Proveedores Externos</w:t>
      </w:r>
    </w:p>
    <w:p w:rsidR="00353CAA" w:rsidRDefault="00353CAA" w:rsidP="00353CAA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La contratación externa de software no significará la pérdida de control institucional. Se establecerán cláusulas procedimentales donde todo proveedor deba:</w:t>
      </w:r>
    </w:p>
    <w:p w:rsidR="00353CAA" w:rsidRDefault="00353CAA" w:rsidP="00353CAA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Alinear su desarrollo a los estándares de arquitectura y seguridad del Municipio.</w:t>
      </w:r>
    </w:p>
    <w:p w:rsidR="00353CAA" w:rsidRDefault="00353CAA" w:rsidP="00353CAA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Entregar obligatoriamente código fuente, manuales técnicos y diccionarios de datos actualizados.</w:t>
      </w:r>
    </w:p>
    <w:p w:rsidR="00353CAA" w:rsidRDefault="00353CAA" w:rsidP="00353CAA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Someterse a pruebas de recepción validadas por el personal técnico del Departamento antes de la aceptación final.</w:t>
      </w:r>
    </w:p>
    <w:p w:rsidR="00353CAA" w:rsidRDefault="00353CAA" w:rsidP="00353CAA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5. Protocolo Institucional de Seguridad y Privacidad para Uso de IA Gratuita</w:t>
      </w:r>
    </w:p>
    <w:p w:rsidR="00353CAA" w:rsidRDefault="00353CAA" w:rsidP="00353CAA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Ante el uso informal de herramientas gratuitas de IA por parte del personal, se fijará una directiva clara de **Seguridad y Privacidad**:</w:t>
      </w:r>
    </w:p>
    <w:p w:rsidR="00353CAA" w:rsidRDefault="00353CAA" w:rsidP="00353CAA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Queda estrictamente prohibido introducir en herramientas de IA públicas datos personales de ciudadanos, credenciales de acceso, claves de bases de datos o código fuente institucional sensible.</w:t>
      </w:r>
    </w:p>
    <w:p w:rsidR="00353CAA" w:rsidRDefault="00353CAA" w:rsidP="00353CAA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La IA se utilizará únicamente como asistente para generación de estructuras auxiliares, aprendizaje o documentación general, quedando siempre sujeta a la revisión profesional humana.</w:t>
      </w:r>
    </w:p>
    <w:p w:rsidR="00353CAA" w:rsidRDefault="00353CAA" w:rsidP="00353CAA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6. Proyección con Incorporación de Recursos (CON PRESUPUESTO - Plan Proyectado a Mediano/Largo Plazo)</w:t>
      </w:r>
    </w:p>
    <w:p w:rsidR="00353CAA" w:rsidRDefault="00353CAA" w:rsidP="00353CAA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Esta sección contempla la evolución tecnológica y la innovación del departamento a través de una inversión presupuestaria escalonada y justificada en necesidades concretas:</w:t>
      </w:r>
    </w:p>
    <w:p w:rsidR="00353CAA" w:rsidRDefault="00353CAA" w:rsidP="00353CAA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1. Herramientas Tecnológicas y Licencias Corporativas</w:t>
      </w:r>
    </w:p>
    <w:p w:rsidR="00353CAA" w:rsidRDefault="00353CAA" w:rsidP="00353CAA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**Licencias Corporativas de IA para IDEs (ej. GitHub Copilot / Tabnine):** Adquisición de licencias corporativas oficiales administradas por el Municipio, garantizando entornos seguros, privados y con tokens oficiales para aumentar drásticamente la productividad del equipo.</w:t>
      </w:r>
    </w:p>
    <w:p w:rsidR="00353CAA" w:rsidRDefault="00353CAA" w:rsidP="00353CAA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**Plataformas de Control Automático de Calidad (ej. SonarQube):** Adquisición de licencias para herramientas de análisis estático que verifiquen automáticamente el cumplimiento de las guías de estilo y detecten deudas técnicas o vulnerabilidades antes de la entrega.</w:t>
      </w:r>
    </w:p>
    <w:p w:rsidR="00353CAA" w:rsidRDefault="00353CAA" w:rsidP="00353CAA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**Migración e Infraestructura en Contenedores (Docker):** Asignación de presupuesto y tiempo operativo para migrar paulatinamente sistemas *legacy* hacia entornos *Dockerizados*. Esto facilitará la labor del Departamento de Infraestructura/Redes (encargado exclusivo de los despliegues y DevOps), entregándoles paquetes estandarizados.</w:t>
      </w:r>
    </w:p>
    <w:p w:rsidR="00353CAA" w:rsidRDefault="00353CAA" w:rsidP="00353CAA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2. Capacitación Continua Formal</w:t>
      </w:r>
    </w:p>
    <w:p w:rsidR="00353CAA" w:rsidRDefault="00353CAA" w:rsidP="00353CAA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Financiamiento de cursos de formación profesional en **Arquitecturas Limpias (*Clean Architecture*)**, Patrones de Diseño, Microservicios y APIs REST.</w:t>
      </w:r>
    </w:p>
    <w:p w:rsidR="00353CAA" w:rsidRDefault="00353CAA" w:rsidP="00353CAA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3. Equipamiento para Trabajo Colaborativo Inter-Oficinas</w:t>
      </w:r>
    </w:p>
    <w:p w:rsidR="00353CAA" w:rsidRDefault="00353CAA" w:rsidP="00353CAA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Provisión de insumos informáticos básicos no cuantitativos: adquisición de **webcams y auriculares con micrófono** para los puestos de trabajo, facilitando las reuniones virtuales de coordinación entre las dos oficinas físicas y las áreas usuarias.</w:t>
      </w:r>
    </w:p>
    <w:p w:rsidR="00353CAA" w:rsidRDefault="00353CAA" w:rsidP="00353CAA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7. Implementación y Gestión (Hoja de Ruta por Etapas)</w:t>
      </w:r>
    </w:p>
    <w:p w:rsidR="00353CAA" w:rsidRDefault="00353CAA" w:rsidP="00353CAA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La transformación del departamento se ejecutará bajo un marco de **adopción progresiva (Roadmap Ágil)** estructurado en 3 etapas principales y un proceso permanente:</w:t>
      </w:r>
    </w:p>
    <w:p w:rsidR="00353CAA" w:rsidRDefault="00353CAA" w:rsidP="00353CAA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```</w:t>
      </w:r>
    </w:p>
    <w:p w:rsidR="00353CAA" w:rsidRDefault="00353CAA" w:rsidP="00353CAA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 xml:space="preserve">[Etapa I: Conocer y Ordenar] </w:t>
      </w:r>
      <w:r>
        <w:rPr>
          <w:rFonts w:ascii="Segoe UI Symbol" w:hAnsi="Segoe UI Symbol" w:cs="Segoe UI Symbol"/>
          <w:color w:val="111111"/>
        </w:rPr>
        <w:t>➔</w:t>
      </w:r>
      <w:r>
        <w:rPr>
          <w:rFonts w:ascii="Arial" w:hAnsi="Arial" w:cs="Arial"/>
          <w:color w:val="111111"/>
        </w:rPr>
        <w:t xml:space="preserve"> [Etapa II: Integrar y Estandarizar] </w:t>
      </w:r>
      <w:r>
        <w:rPr>
          <w:rFonts w:ascii="Segoe UI Symbol" w:hAnsi="Segoe UI Symbol" w:cs="Segoe UI Symbol"/>
          <w:color w:val="111111"/>
        </w:rPr>
        <w:t>➔</w:t>
      </w:r>
      <w:r>
        <w:rPr>
          <w:rFonts w:ascii="Arial" w:hAnsi="Arial" w:cs="Arial"/>
          <w:color w:val="111111"/>
        </w:rPr>
        <w:t xml:space="preserve"> [Etapa III: Consolidar e Innovar] </w:t>
      </w:r>
      <w:r>
        <w:rPr>
          <w:rFonts w:ascii="Segoe UI Symbol" w:hAnsi="Segoe UI Symbol" w:cs="Segoe UI Symbol"/>
          <w:color w:val="111111"/>
        </w:rPr>
        <w:t>➔</w:t>
      </w:r>
      <w:r>
        <w:rPr>
          <w:rFonts w:ascii="Arial" w:hAnsi="Arial" w:cs="Arial"/>
          <w:color w:val="111111"/>
        </w:rPr>
        <w:t xml:space="preserve"> [Proceso Permanente]</w:t>
      </w:r>
    </w:p>
    <w:p w:rsidR="00353CAA" w:rsidRDefault="00353CAA" w:rsidP="00353CAA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```</w:t>
      </w:r>
    </w:p>
    <w:p w:rsidR="00353CAA" w:rsidRDefault="00353CAA" w:rsidP="00353CAA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**Etapa I – Conocer y Ordenar (Sprints 1 a 4):**</w:t>
      </w:r>
    </w:p>
    <w:p w:rsidR="00353CAA" w:rsidRDefault="00353CAA" w:rsidP="00353CAA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Relevamiento de competencias y consolidación del Inventario de Sistemas.</w:t>
      </w:r>
    </w:p>
    <w:p w:rsidR="00353CAA" w:rsidRDefault="00353CAA" w:rsidP="00353CAA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Conformación de la Cartera Única de Proyectos (evaluación previa de reutilización antes de crear código nuevo).</w:t>
      </w:r>
    </w:p>
    <w:p w:rsidR="00353CAA" w:rsidRDefault="00353CAA" w:rsidP="00353CAA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Unificación del seguimiento obligatorio en Redmine y asignación de los primeros *Referentes Secundarios*.</w:t>
      </w:r>
    </w:p>
    <w:p w:rsidR="00353CAA" w:rsidRDefault="00353CAA" w:rsidP="00353CAA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**Etapa II – Integrar y Estandarizar (Sprints 5 a 12):**</w:t>
      </w:r>
    </w:p>
    <w:p w:rsidR="00353CAA" w:rsidRDefault="00353CAA" w:rsidP="00353CAA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Puesta en marcha de las reuniones de coordinación transversal entre ambas oficinas.</w:t>
      </w:r>
    </w:p>
    <w:p w:rsidR="00353CAA" w:rsidRDefault="00353CAA" w:rsidP="00353CAA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Difusión y exigencia obligatoria de las Guías de Buenas Prácticas y del Template de Arquitectura Base.</w:t>
      </w:r>
    </w:p>
    <w:p w:rsidR="00353CAA" w:rsidRDefault="00353CAA" w:rsidP="00353CAA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Implementación del protocolo de Gobierno Técnico de Proveedores Externos.</w:t>
      </w:r>
    </w:p>
    <w:p w:rsidR="00353CAA" w:rsidRDefault="00353CAA" w:rsidP="00353CAA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**Etapa III – Consolidar y Evaluar (Sprints 13+):**</w:t>
      </w:r>
    </w:p>
    <w:p w:rsidR="00353CAA" w:rsidRDefault="00353CAA" w:rsidP="00353CAA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Evaluación de los indicadores de riesgo operacional.</w:t>
      </w:r>
    </w:p>
    <w:p w:rsidR="00353CAA" w:rsidRDefault="00353CAA" w:rsidP="00353CAA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Paso a producción de aplicaciones dockerizadas en sinergia con el área de Redes.</w:t>
      </w:r>
    </w:p>
    <w:p w:rsidR="00353CAA" w:rsidRDefault="00353CAA" w:rsidP="00353CAA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Implementación gradual de revisiones de código cruzadas (*peer review*) en GitLab para cambios críticos.</w:t>
      </w:r>
    </w:p>
    <w:p w:rsidR="00353CAA" w:rsidRDefault="00353CAA" w:rsidP="00353CAA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**Proceso Permanente – Mejora Continua e Innovación:**</w:t>
      </w:r>
    </w:p>
    <w:p w:rsidR="00353CAA" w:rsidRDefault="00353CAA" w:rsidP="00353CAA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Revisión periódica de procedimientos, actualización de capacitaciones y evaluación fundamentada de nuevas tecnologías (IA corporativa y automatización).</w:t>
      </w:r>
    </w:p>
    <w:p w:rsidR="00353CAA" w:rsidRDefault="00353CAA" w:rsidP="00353CAA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8. Evaluación y Control (Matriz Unificada de Indicadores)</w:t>
      </w:r>
    </w:p>
    <w:p w:rsidR="00353CAA" w:rsidRDefault="00353CAA" w:rsidP="00353CAA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El éxito de la propuesta se evaluará mediante una combinación de **Métricas Ejecutivas de Proceso** y **Métricas de Reducción de Riesgo Institucional**: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118"/>
        <w:gridCol w:w="3118"/>
        <w:gridCol w:w="3119"/>
      </w:tblGrid>
      <w:tr w:rsidR="00353CAA" w:rsidTr="00353CAA">
        <w:tblPrEx>
          <w:tblCellMar>
            <w:top w:w="0" w:type="dxa"/>
            <w:bottom w:w="0" w:type="dxa"/>
          </w:tblCellMar>
        </w:tblPrEx>
        <w:tc>
          <w:tcPr>
            <w:tcW w:w="3118" w:type="dxa"/>
            <w:tcBorders>
              <w:bottom w:val="single" w:sz="4" w:space="0" w:color="auto"/>
            </w:tcBorders>
            <w:shd w:val="clear" w:color="auto" w:fill="1B365D"/>
          </w:tcPr>
          <w:p w:rsidR="00353CAA" w:rsidRPr="00353CAA" w:rsidRDefault="00353CAA" w:rsidP="00353CAA">
            <w:pPr>
              <w:spacing w:before="60" w:after="60" w:line="240" w:lineRule="auto"/>
              <w:jc w:val="center"/>
              <w:rPr>
                <w:rFonts w:ascii="Arial" w:hAnsi="Arial" w:cs="Arial"/>
                <w:b/>
                <w:color w:val="FFFFFF"/>
                <w:sz w:val="19"/>
              </w:rPr>
            </w:pPr>
            <w:r w:rsidRPr="00353CAA">
              <w:rPr>
                <w:rFonts w:ascii="Arial" w:hAnsi="Arial" w:cs="Arial"/>
                <w:b/>
                <w:color w:val="FFFFFF"/>
                <w:sz w:val="19"/>
              </w:rPr>
              <w:t>Categoría</w:t>
            </w:r>
          </w:p>
        </w:tc>
        <w:tc>
          <w:tcPr>
            <w:tcW w:w="3118" w:type="dxa"/>
            <w:tcBorders>
              <w:bottom w:val="single" w:sz="4" w:space="0" w:color="auto"/>
            </w:tcBorders>
            <w:shd w:val="clear" w:color="auto" w:fill="1B365D"/>
          </w:tcPr>
          <w:p w:rsidR="00353CAA" w:rsidRPr="00353CAA" w:rsidRDefault="00353CAA" w:rsidP="00353CAA">
            <w:pPr>
              <w:spacing w:before="60" w:after="60" w:line="240" w:lineRule="auto"/>
              <w:jc w:val="center"/>
              <w:rPr>
                <w:rFonts w:ascii="Arial" w:hAnsi="Arial" w:cs="Arial"/>
                <w:b/>
                <w:color w:val="FFFFFF"/>
                <w:sz w:val="19"/>
              </w:rPr>
            </w:pPr>
            <w:r w:rsidRPr="00353CAA">
              <w:rPr>
                <w:rFonts w:ascii="Arial" w:hAnsi="Arial" w:cs="Arial"/>
                <w:b/>
                <w:color w:val="FFFFFF"/>
                <w:sz w:val="19"/>
              </w:rPr>
              <w:t>Indicador de Gestión</w:t>
            </w:r>
          </w:p>
        </w:tc>
        <w:tc>
          <w:tcPr>
            <w:tcW w:w="3119" w:type="dxa"/>
            <w:tcBorders>
              <w:bottom w:val="single" w:sz="4" w:space="0" w:color="auto"/>
            </w:tcBorders>
            <w:shd w:val="clear" w:color="auto" w:fill="1B365D"/>
          </w:tcPr>
          <w:p w:rsidR="00353CAA" w:rsidRPr="00353CAA" w:rsidRDefault="00353CAA" w:rsidP="00353CAA">
            <w:pPr>
              <w:spacing w:before="60" w:after="60" w:line="240" w:lineRule="auto"/>
              <w:jc w:val="center"/>
              <w:rPr>
                <w:rFonts w:ascii="Arial" w:hAnsi="Arial" w:cs="Arial"/>
                <w:b/>
                <w:color w:val="FFFFFF"/>
                <w:sz w:val="19"/>
              </w:rPr>
            </w:pPr>
            <w:r w:rsidRPr="00353CAA">
              <w:rPr>
                <w:rFonts w:ascii="Arial" w:hAnsi="Arial" w:cs="Arial"/>
                <w:b/>
                <w:color w:val="FFFFFF"/>
                <w:sz w:val="19"/>
              </w:rPr>
              <w:t>Objetivo Estratégico</w:t>
            </w:r>
          </w:p>
        </w:tc>
      </w:tr>
      <w:tr w:rsidR="00353CAA" w:rsidTr="00353CAA">
        <w:tblPrEx>
          <w:tblCellMar>
            <w:top w:w="0" w:type="dxa"/>
            <w:bottom w:w="0" w:type="dxa"/>
          </w:tblCellMar>
        </w:tblPrEx>
        <w:tc>
          <w:tcPr>
            <w:tcW w:w="3118" w:type="dxa"/>
            <w:shd w:val="clear" w:color="auto" w:fill="F5F5F5"/>
          </w:tcPr>
          <w:p w:rsidR="00353CAA" w:rsidRPr="00353CAA" w:rsidRDefault="00353CAA" w:rsidP="00353CAA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353CAA">
              <w:rPr>
                <w:rFonts w:ascii="Arial" w:hAnsi="Arial" w:cs="Arial"/>
                <w:color w:val="222222"/>
                <w:sz w:val="18"/>
              </w:rPr>
              <w:t>**Riesgo Operacional**</w:t>
            </w:r>
          </w:p>
        </w:tc>
        <w:tc>
          <w:tcPr>
            <w:tcW w:w="3118" w:type="dxa"/>
            <w:shd w:val="clear" w:color="auto" w:fill="F5F5F5"/>
          </w:tcPr>
          <w:p w:rsidR="00353CAA" w:rsidRPr="00353CAA" w:rsidRDefault="00353CAA" w:rsidP="00353CAA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353CAA">
              <w:rPr>
                <w:rFonts w:ascii="Arial" w:hAnsi="Arial" w:cs="Arial"/>
                <w:color w:val="222222"/>
                <w:sz w:val="18"/>
              </w:rPr>
              <w:t>% de Sistemas Críticos con Referente Secundario Asignado</w:t>
            </w:r>
          </w:p>
        </w:tc>
        <w:tc>
          <w:tcPr>
            <w:tcW w:w="3119" w:type="dxa"/>
            <w:shd w:val="clear" w:color="auto" w:fill="F5F5F5"/>
          </w:tcPr>
          <w:p w:rsidR="00353CAA" w:rsidRPr="00353CAA" w:rsidRDefault="00353CAA" w:rsidP="00353CAA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353CAA">
              <w:rPr>
                <w:rFonts w:ascii="Arial" w:hAnsi="Arial" w:cs="Arial"/>
                <w:color w:val="222222"/>
                <w:sz w:val="18"/>
              </w:rPr>
              <w:t>Tender al 100% para eliminar los *Single Points of Failure*.</w:t>
            </w:r>
          </w:p>
        </w:tc>
      </w:tr>
      <w:tr w:rsidR="00353CAA" w:rsidTr="00353CAA">
        <w:tblPrEx>
          <w:tblCellMar>
            <w:top w:w="0" w:type="dxa"/>
            <w:bottom w:w="0" w:type="dxa"/>
          </w:tblCellMar>
        </w:tblPrEx>
        <w:tc>
          <w:tcPr>
            <w:tcW w:w="3118" w:type="dxa"/>
            <w:tcBorders>
              <w:bottom w:val="single" w:sz="4" w:space="0" w:color="auto"/>
            </w:tcBorders>
            <w:shd w:val="clear" w:color="auto" w:fill="auto"/>
          </w:tcPr>
          <w:p w:rsidR="00353CAA" w:rsidRPr="00353CAA" w:rsidRDefault="00353CAA" w:rsidP="00353CAA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353CAA">
              <w:rPr>
                <w:rFonts w:ascii="Arial" w:hAnsi="Arial" w:cs="Arial"/>
                <w:color w:val="222222"/>
                <w:sz w:val="18"/>
              </w:rPr>
              <w:t>**Documentación**</w:t>
            </w:r>
          </w:p>
        </w:tc>
        <w:tc>
          <w:tcPr>
            <w:tcW w:w="3118" w:type="dxa"/>
            <w:tcBorders>
              <w:bottom w:val="single" w:sz="4" w:space="0" w:color="auto"/>
            </w:tcBorders>
            <w:shd w:val="clear" w:color="auto" w:fill="auto"/>
          </w:tcPr>
          <w:p w:rsidR="00353CAA" w:rsidRPr="00353CAA" w:rsidRDefault="00353CAA" w:rsidP="00353CAA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353CAA">
              <w:rPr>
                <w:rFonts w:ascii="Arial" w:hAnsi="Arial" w:cs="Arial"/>
                <w:color w:val="222222"/>
                <w:sz w:val="18"/>
              </w:rPr>
              <w:t>% de Sistemas con Documentación Técnica Mínima</w:t>
            </w:r>
          </w:p>
        </w:tc>
        <w:tc>
          <w:tcPr>
            <w:tcW w:w="3119" w:type="dxa"/>
            <w:tcBorders>
              <w:bottom w:val="single" w:sz="4" w:space="0" w:color="auto"/>
            </w:tcBorders>
            <w:shd w:val="clear" w:color="auto" w:fill="auto"/>
          </w:tcPr>
          <w:p w:rsidR="00353CAA" w:rsidRPr="00353CAA" w:rsidRDefault="00353CAA" w:rsidP="00353CAA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353CAA">
              <w:rPr>
                <w:rFonts w:ascii="Arial" w:hAnsi="Arial" w:cs="Arial"/>
                <w:color w:val="222222"/>
                <w:sz w:val="18"/>
              </w:rPr>
              <w:t>Garantizar la continuidad operativa y retención del conocimiento.</w:t>
            </w:r>
          </w:p>
        </w:tc>
      </w:tr>
      <w:tr w:rsidR="00353CAA" w:rsidTr="00353CAA">
        <w:tblPrEx>
          <w:tblCellMar>
            <w:top w:w="0" w:type="dxa"/>
            <w:bottom w:w="0" w:type="dxa"/>
          </w:tblCellMar>
        </w:tblPrEx>
        <w:tc>
          <w:tcPr>
            <w:tcW w:w="3118" w:type="dxa"/>
            <w:shd w:val="clear" w:color="auto" w:fill="F5F5F5"/>
          </w:tcPr>
          <w:p w:rsidR="00353CAA" w:rsidRPr="00353CAA" w:rsidRDefault="00353CAA" w:rsidP="00353CAA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353CAA">
              <w:rPr>
                <w:rFonts w:ascii="Arial" w:hAnsi="Arial" w:cs="Arial"/>
                <w:color w:val="222222"/>
                <w:sz w:val="18"/>
              </w:rPr>
              <w:t>**Estandarización**</w:t>
            </w:r>
          </w:p>
        </w:tc>
        <w:tc>
          <w:tcPr>
            <w:tcW w:w="3118" w:type="dxa"/>
            <w:shd w:val="clear" w:color="auto" w:fill="F5F5F5"/>
          </w:tcPr>
          <w:p w:rsidR="00353CAA" w:rsidRPr="00353CAA" w:rsidRDefault="00353CAA" w:rsidP="00353CAA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353CAA">
              <w:rPr>
                <w:rFonts w:ascii="Arial" w:hAnsi="Arial" w:cs="Arial"/>
                <w:color w:val="222222"/>
                <w:sz w:val="18"/>
              </w:rPr>
              <w:t>% de Proyectos Nuevos alineados a la Arquitectura Base</w:t>
            </w:r>
          </w:p>
        </w:tc>
        <w:tc>
          <w:tcPr>
            <w:tcW w:w="3119" w:type="dxa"/>
            <w:shd w:val="clear" w:color="auto" w:fill="F5F5F5"/>
          </w:tcPr>
          <w:p w:rsidR="00353CAA" w:rsidRPr="00353CAA" w:rsidRDefault="00353CAA" w:rsidP="00353CAA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353CAA">
              <w:rPr>
                <w:rFonts w:ascii="Arial" w:hAnsi="Arial" w:cs="Arial"/>
                <w:color w:val="222222"/>
                <w:sz w:val="18"/>
              </w:rPr>
              <w:t>Garantizar código escalable, mantenible y homogéneo.</w:t>
            </w:r>
          </w:p>
        </w:tc>
      </w:tr>
      <w:tr w:rsidR="00353CAA" w:rsidTr="00353CAA">
        <w:tblPrEx>
          <w:tblCellMar>
            <w:top w:w="0" w:type="dxa"/>
            <w:bottom w:w="0" w:type="dxa"/>
          </w:tblCellMar>
        </w:tblPrEx>
        <w:tc>
          <w:tcPr>
            <w:tcW w:w="3118" w:type="dxa"/>
            <w:tcBorders>
              <w:bottom w:val="single" w:sz="4" w:space="0" w:color="auto"/>
            </w:tcBorders>
            <w:shd w:val="clear" w:color="auto" w:fill="auto"/>
          </w:tcPr>
          <w:p w:rsidR="00353CAA" w:rsidRPr="00353CAA" w:rsidRDefault="00353CAA" w:rsidP="00353CAA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353CAA">
              <w:rPr>
                <w:rFonts w:ascii="Arial" w:hAnsi="Arial" w:cs="Arial"/>
                <w:color w:val="222222"/>
                <w:sz w:val="18"/>
              </w:rPr>
              <w:t>**Eficiencia Procesal**</w:t>
            </w:r>
          </w:p>
        </w:tc>
        <w:tc>
          <w:tcPr>
            <w:tcW w:w="3118" w:type="dxa"/>
            <w:tcBorders>
              <w:bottom w:val="single" w:sz="4" w:space="0" w:color="auto"/>
            </w:tcBorders>
            <w:shd w:val="clear" w:color="auto" w:fill="auto"/>
          </w:tcPr>
          <w:p w:rsidR="00353CAA" w:rsidRPr="00353CAA" w:rsidRDefault="00353CAA" w:rsidP="00353CAA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353CAA">
              <w:rPr>
                <w:rFonts w:ascii="Arial" w:hAnsi="Arial" w:cs="Arial"/>
                <w:color w:val="222222"/>
                <w:sz w:val="18"/>
              </w:rPr>
              <w:t xml:space="preserve">*Lead Time* de Desarrollo (Solicitud </w:t>
            </w:r>
            <w:r w:rsidRPr="00353CAA">
              <w:rPr>
                <w:rFonts w:ascii="Segoe UI Symbol" w:hAnsi="Segoe UI Symbol" w:cs="Segoe UI Symbol"/>
                <w:color w:val="222222"/>
                <w:sz w:val="18"/>
              </w:rPr>
              <w:t>➔</w:t>
            </w:r>
            <w:r w:rsidRPr="00353CAA">
              <w:rPr>
                <w:rFonts w:ascii="Arial" w:hAnsi="Arial" w:cs="Arial"/>
                <w:color w:val="222222"/>
                <w:sz w:val="18"/>
              </w:rPr>
              <w:t xml:space="preserve"> Entrega a Redes)</w:t>
            </w:r>
          </w:p>
        </w:tc>
        <w:tc>
          <w:tcPr>
            <w:tcW w:w="3119" w:type="dxa"/>
            <w:tcBorders>
              <w:bottom w:val="single" w:sz="4" w:space="0" w:color="auto"/>
            </w:tcBorders>
            <w:shd w:val="clear" w:color="auto" w:fill="auto"/>
          </w:tcPr>
          <w:p w:rsidR="00353CAA" w:rsidRPr="00353CAA" w:rsidRDefault="00353CAA" w:rsidP="00353CAA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353CAA">
              <w:rPr>
                <w:rFonts w:ascii="Arial" w:hAnsi="Arial" w:cs="Arial"/>
                <w:color w:val="222222"/>
                <w:sz w:val="18"/>
              </w:rPr>
              <w:t>Reducir los tiempos de entrega mediante priorización ágil.</w:t>
            </w:r>
          </w:p>
        </w:tc>
      </w:tr>
      <w:tr w:rsidR="00353CAA" w:rsidTr="00353CAA">
        <w:tblPrEx>
          <w:tblCellMar>
            <w:top w:w="0" w:type="dxa"/>
            <w:bottom w:w="0" w:type="dxa"/>
          </w:tblCellMar>
        </w:tblPrEx>
        <w:tc>
          <w:tcPr>
            <w:tcW w:w="3118" w:type="dxa"/>
            <w:shd w:val="clear" w:color="auto" w:fill="F5F5F5"/>
          </w:tcPr>
          <w:p w:rsidR="00353CAA" w:rsidRPr="00353CAA" w:rsidRDefault="00353CAA" w:rsidP="00353CAA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353CAA">
              <w:rPr>
                <w:rFonts w:ascii="Arial" w:hAnsi="Arial" w:cs="Arial"/>
                <w:color w:val="222222"/>
                <w:sz w:val="18"/>
              </w:rPr>
              <w:t>**Calidad de Entrega**</w:t>
            </w:r>
          </w:p>
        </w:tc>
        <w:tc>
          <w:tcPr>
            <w:tcW w:w="3118" w:type="dxa"/>
            <w:shd w:val="clear" w:color="auto" w:fill="F5F5F5"/>
          </w:tcPr>
          <w:p w:rsidR="00353CAA" w:rsidRPr="00353CAA" w:rsidRDefault="00353CAA" w:rsidP="00353CAA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353CAA">
              <w:rPr>
                <w:rFonts w:ascii="Arial" w:hAnsi="Arial" w:cs="Arial"/>
                <w:color w:val="222222"/>
                <w:sz w:val="18"/>
              </w:rPr>
              <w:t>Tasa de Defectos Reportados en Post-Producción</w:t>
            </w:r>
          </w:p>
        </w:tc>
        <w:tc>
          <w:tcPr>
            <w:tcW w:w="3119" w:type="dxa"/>
            <w:shd w:val="clear" w:color="auto" w:fill="F5F5F5"/>
          </w:tcPr>
          <w:p w:rsidR="00353CAA" w:rsidRPr="00353CAA" w:rsidRDefault="00353CAA" w:rsidP="00353CAA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353CAA">
              <w:rPr>
                <w:rFonts w:ascii="Arial" w:hAnsi="Arial" w:cs="Arial"/>
                <w:color w:val="222222"/>
                <w:sz w:val="18"/>
              </w:rPr>
              <w:t>Reducir fallas mediante el cumplimiento de buenas prácticas.</w:t>
            </w:r>
          </w:p>
        </w:tc>
      </w:tr>
      <w:tr w:rsidR="00353CAA" w:rsidTr="00353CAA">
        <w:tblPrEx>
          <w:tblCellMar>
            <w:top w:w="0" w:type="dxa"/>
            <w:bottom w:w="0" w:type="dxa"/>
          </w:tblCellMar>
        </w:tblPrEx>
        <w:tc>
          <w:tcPr>
            <w:tcW w:w="3118" w:type="dxa"/>
            <w:tcBorders>
              <w:bottom w:val="single" w:sz="4" w:space="0" w:color="auto"/>
            </w:tcBorders>
            <w:shd w:val="clear" w:color="auto" w:fill="auto"/>
          </w:tcPr>
          <w:p w:rsidR="00353CAA" w:rsidRPr="00353CAA" w:rsidRDefault="00353CAA" w:rsidP="00353CAA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353CAA">
              <w:rPr>
                <w:rFonts w:ascii="Arial" w:hAnsi="Arial" w:cs="Arial"/>
                <w:color w:val="222222"/>
                <w:sz w:val="18"/>
              </w:rPr>
              <w:t>**Control de Terceros**</w:t>
            </w:r>
          </w:p>
        </w:tc>
        <w:tc>
          <w:tcPr>
            <w:tcW w:w="3118" w:type="dxa"/>
            <w:tcBorders>
              <w:bottom w:val="single" w:sz="4" w:space="0" w:color="auto"/>
            </w:tcBorders>
            <w:shd w:val="clear" w:color="auto" w:fill="auto"/>
          </w:tcPr>
          <w:p w:rsidR="00353CAA" w:rsidRPr="00353CAA" w:rsidRDefault="00353CAA" w:rsidP="00353CAA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353CAA">
              <w:rPr>
                <w:rFonts w:ascii="Arial" w:hAnsi="Arial" w:cs="Arial"/>
                <w:color w:val="222222"/>
                <w:sz w:val="18"/>
              </w:rPr>
              <w:t>% de Desarrollos Externos con Gobierno Técnico Aceptado</w:t>
            </w:r>
          </w:p>
        </w:tc>
        <w:tc>
          <w:tcPr>
            <w:tcW w:w="3119" w:type="dxa"/>
            <w:tcBorders>
              <w:bottom w:val="single" w:sz="4" w:space="0" w:color="auto"/>
            </w:tcBorders>
            <w:shd w:val="clear" w:color="auto" w:fill="auto"/>
          </w:tcPr>
          <w:p w:rsidR="00353CAA" w:rsidRPr="00353CAA" w:rsidRDefault="00353CAA" w:rsidP="00353CAA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353CAA">
              <w:rPr>
                <w:rFonts w:ascii="Arial" w:hAnsi="Arial" w:cs="Arial"/>
                <w:color w:val="222222"/>
                <w:sz w:val="18"/>
              </w:rPr>
              <w:t>Asegurar la entrega de código fuente y documentación por proveedores.</w:t>
            </w:r>
          </w:p>
        </w:tc>
      </w:tr>
      <w:tr w:rsidR="00353CAA" w:rsidTr="00353CAA">
        <w:tblPrEx>
          <w:tblCellMar>
            <w:top w:w="0" w:type="dxa"/>
            <w:bottom w:w="0" w:type="dxa"/>
          </w:tblCellMar>
        </w:tblPrEx>
        <w:tc>
          <w:tcPr>
            <w:tcW w:w="3118" w:type="dxa"/>
            <w:shd w:val="clear" w:color="auto" w:fill="F5F5F5"/>
          </w:tcPr>
          <w:p w:rsidR="00353CAA" w:rsidRPr="00353CAA" w:rsidRDefault="00353CAA" w:rsidP="00353CAA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353CAA">
              <w:rPr>
                <w:rFonts w:ascii="Arial" w:hAnsi="Arial" w:cs="Arial"/>
                <w:color w:val="222222"/>
                <w:sz w:val="18"/>
              </w:rPr>
              <w:t>**Gobernanza de IA**</w:t>
            </w:r>
          </w:p>
        </w:tc>
        <w:tc>
          <w:tcPr>
            <w:tcW w:w="3118" w:type="dxa"/>
            <w:shd w:val="clear" w:color="auto" w:fill="F5F5F5"/>
          </w:tcPr>
          <w:p w:rsidR="00353CAA" w:rsidRPr="00353CAA" w:rsidRDefault="00353CAA" w:rsidP="00353CAA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353CAA">
              <w:rPr>
                <w:rFonts w:ascii="Arial" w:hAnsi="Arial" w:cs="Arial"/>
                <w:color w:val="222222"/>
                <w:sz w:val="18"/>
              </w:rPr>
              <w:t>Cumplimiento del Protocolo de Seguridad en IA</w:t>
            </w:r>
          </w:p>
        </w:tc>
        <w:tc>
          <w:tcPr>
            <w:tcW w:w="3119" w:type="dxa"/>
            <w:shd w:val="clear" w:color="auto" w:fill="F5F5F5"/>
          </w:tcPr>
          <w:p w:rsidR="00353CAA" w:rsidRPr="00353CAA" w:rsidRDefault="00353CAA" w:rsidP="00353CAA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353CAA">
              <w:rPr>
                <w:rFonts w:ascii="Arial" w:hAnsi="Arial" w:cs="Arial"/>
                <w:color w:val="222222"/>
                <w:sz w:val="18"/>
              </w:rPr>
              <w:t>Proteger el 100% de la información sensible municipal.</w:t>
            </w:r>
          </w:p>
        </w:tc>
      </w:tr>
    </w:tbl>
    <w:p w:rsidR="00353CAA" w:rsidRDefault="00353CAA" w:rsidP="00353CAA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</w:p>
    <w:p w:rsidR="00353CAA" w:rsidRDefault="00353CAA" w:rsidP="00353CAA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9. Sectores del Departamento (Matriz Dinámica de Trabajo)</w:t>
      </w:r>
    </w:p>
    <w:p w:rsidR="00353CAA" w:rsidRDefault="00353CAA" w:rsidP="00353CAA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Aprovechando la estructura del *Grupo Ocupacional Computación* vigente (sin solicitar la creación de nuevos cargos en el escalafón), el flujo operativo se organizará dinámicamente:</w:t>
      </w:r>
    </w:p>
    <w:p w:rsidR="00353CAA" w:rsidRDefault="00353CAA" w:rsidP="00353CAA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1.  **Liderazgo Técnico y Arquitectura (*Analistas y Especialistas Senior - Clase XI*):** Encargados del diseño de arquitectura base, análisis funcional complejo, mentoría en la capacitación cruzada y supervisión de los estándares técnicos.</w:t>
      </w:r>
    </w:p>
    <w:p w:rsidR="00353CAA" w:rsidRDefault="00353CAA" w:rsidP="00353CAA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2.  **Desarrollo Funcional (*Analistas Programadores Semi-Senior y Programadores - Clases X e IX*):** Enfocados en la codificación de lógica de negocio, construcción de interfaces y corrección de incidencias, operando bajo las guías de estilo estipuladas.</w:t>
      </w:r>
    </w:p>
    <w:p w:rsidR="00353CAA" w:rsidRDefault="00353CAA" w:rsidP="00353CAA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3.  **Innovación, Integración y Transferencia (Roles Transversales Rotativos):** Asignaciones dinámicas para acompañar como *Referentes Secundarios*, investigar integraciones entre sistemas y empaquetar software en contenedores Docker.</w:t>
      </w:r>
    </w:p>
    <w:p w:rsidR="00353CAA" w:rsidRDefault="00353CAA" w:rsidP="00353CAA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10. Conclusiones</w:t>
      </w:r>
    </w:p>
    <w:p w:rsidR="00353CAA" w:rsidRDefault="00353CAA" w:rsidP="00353CAA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La modernización tecnológica de la Municipalidad requiere un departamento de software ordenado, previsible y sostenible, capaz de trascender a las personas y a los cambios de gestión política.</w:t>
      </w:r>
    </w:p>
    <w:p w:rsidR="00353CAA" w:rsidRDefault="00353CAA" w:rsidP="00353CAA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Al implementar un marco de agilidad adaptativa con la Jefatura en un rol activo de **Scrum Master Global y Gestor**, establecer el uso obligatorio de la arquitectura base, instituir la figura de los *Referentes Secundarios* y aplicar un estricto *Gobierno Técnico sobre Proveedores*, se resolverán los problemas históricos de desarticulación, multitarea caótica y conocimiento concentrado.</w:t>
      </w:r>
    </w:p>
    <w:p w:rsidR="00353CAA" w:rsidRDefault="00353CAA" w:rsidP="00353CAA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Esta propuesta demuestra cómo es posible transformar la realidad actual con el uso inteligente de los recursos disponibles (Escenario REAL) y trazar un camino presupuestario sólido para incorporar innovación tecnológica (Escenario IDEAL), asegurando que el código no solo funcione, sino que constituya un activo institucional escalable, seguro y duradero para toda la comunidad.</w:t>
      </w:r>
    </w:p>
    <w:p w:rsidR="00353CAA" w:rsidRPr="00353CAA" w:rsidRDefault="00353CAA" w:rsidP="00353CAA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bookmarkStart w:id="0" w:name="_GoBack"/>
      <w:bookmarkEnd w:id="0"/>
    </w:p>
    <w:sectPr w:rsidR="00353CAA" w:rsidRPr="00353CAA" w:rsidSect="00353CAA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701" w:right="850" w:bottom="850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353CAA" w:rsidRDefault="00353CAA" w:rsidP="00353CAA">
      <w:pPr>
        <w:spacing w:after="0" w:line="240" w:lineRule="auto"/>
      </w:pPr>
      <w:r>
        <w:separator/>
      </w:r>
    </w:p>
  </w:endnote>
  <w:endnote w:type="continuationSeparator" w:id="0">
    <w:p w:rsidR="00353CAA" w:rsidRDefault="00353CAA" w:rsidP="00353C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53CAA" w:rsidRDefault="00353CAA">
    <w:pPr>
      <w:pStyle w:val="Piedepgina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53CAA" w:rsidRPr="00353CAA" w:rsidRDefault="00353CAA" w:rsidP="00353CAA">
    <w:pPr>
      <w:pStyle w:val="Piedepgina"/>
    </w:pPr>
    <w:r>
      <w:rPr>
        <w:rFonts w:ascii="Arial" w:hAnsi="Arial" w:cs="Arial"/>
        <w:color w:val="555555"/>
        <w:sz w:val="18"/>
      </w:rPr>
      <w:fldChar w:fldCharType="begin"/>
    </w:r>
    <w:r>
      <w:rPr>
        <w:rFonts w:ascii="Arial" w:hAnsi="Arial" w:cs="Arial"/>
        <w:color w:val="555555"/>
        <w:sz w:val="18"/>
      </w:rPr>
      <w:instrText xml:space="preserve"> PAGE  \* MERGEFORMAT </w:instrText>
    </w:r>
    <w:r>
      <w:rPr>
        <w:rFonts w:ascii="Arial" w:hAnsi="Arial" w:cs="Arial"/>
        <w:color w:val="555555"/>
        <w:sz w:val="18"/>
      </w:rPr>
      <w:fldChar w:fldCharType="separate"/>
    </w:r>
    <w:r>
      <w:rPr>
        <w:rFonts w:ascii="Arial" w:hAnsi="Arial" w:cs="Arial"/>
        <w:noProof/>
        <w:color w:val="555555"/>
        <w:sz w:val="18"/>
      </w:rPr>
      <w:t>2</w:t>
    </w:r>
    <w:r>
      <w:rPr>
        <w:rFonts w:ascii="Arial" w:hAnsi="Arial" w:cs="Arial"/>
        <w:color w:val="555555"/>
        <w:sz w:val="18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53CAA" w:rsidRDefault="00353CAA">
    <w:pPr>
      <w:pStyle w:val="Piedepgin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353CAA" w:rsidRDefault="00353CAA" w:rsidP="00353CAA">
      <w:pPr>
        <w:spacing w:after="0" w:line="240" w:lineRule="auto"/>
      </w:pPr>
      <w:r>
        <w:separator/>
      </w:r>
    </w:p>
  </w:footnote>
  <w:footnote w:type="continuationSeparator" w:id="0">
    <w:p w:rsidR="00353CAA" w:rsidRDefault="00353CAA" w:rsidP="00353CA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53CAA" w:rsidRDefault="00353CAA">
    <w:pPr>
      <w:pStyle w:val="Encabezado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53CAA" w:rsidRPr="00353CAA" w:rsidRDefault="00353CAA" w:rsidP="00353CAA">
    <w:pPr>
      <w:pStyle w:val="Encabezado"/>
      <w:jc w:val="right"/>
      <w:rPr>
        <w:rFonts w:ascii="Arial" w:hAnsi="Arial" w:cs="Arial"/>
        <w:color w:val="777777"/>
        <w:sz w:val="17"/>
      </w:rPr>
    </w:pPr>
    <w:r w:rsidRPr="00353CAA">
      <w:rPr>
        <w:rFonts w:ascii="Arial" w:hAnsi="Arial" w:cs="Arial"/>
        <w:color w:val="777777"/>
        <w:sz w:val="17"/>
      </w:rPr>
      <w:t>Concurso Interno de Oposicion - Jefatura de Depto. de Gestion, Desarrollo e Innovacion en Sistemas de Software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53CAA" w:rsidRDefault="00353CAA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53CAA"/>
    <w:rsid w:val="00353CAA"/>
    <w:rsid w:val="003C5AAE"/>
    <w:rsid w:val="00E556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7B3E4C2-C665-446F-91D8-49E3E8251D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353CA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53CAA"/>
  </w:style>
  <w:style w:type="paragraph" w:styleId="Piedepgina">
    <w:name w:val="footer"/>
    <w:basedOn w:val="Normal"/>
    <w:link w:val="PiedepginaCar"/>
    <w:uiPriority w:val="99"/>
    <w:unhideWhenUsed/>
    <w:rsid w:val="00353CA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53CA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2788</Words>
  <Characters>15339</Characters>
  <Application>Microsoft Office Word</Application>
  <DocSecurity>0</DocSecurity>
  <Lines>127</Lines>
  <Paragraphs>36</Paragraphs>
  <ScaleCrop>false</ScaleCrop>
  <Company/>
  <LinksUpToDate>false</LinksUpToDate>
  <CharactersWithSpaces>18091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Cassulo Guido</dc:creator>
  <cp:keywords/>
  <dc:description/>
  <cp:lastModifiedBy>Cassulo Guido</cp:lastModifiedBy>
  <cp:revision>1</cp:revision>
  <dcterms:created xsi:type="dcterms:W3CDTF">2026-07-27T13:39:00Z</dcterms:created>
  <dcterms:modified xsi:type="dcterms:W3CDTF">2026-07-27T13:39:00Z</dcterms:modified>
</cp:coreProperties>
</file>