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9A3" w:rsidRDefault="000839A3" w:rsidP="000839A3">
      <w:pPr>
        <w:jc w:val="center"/>
        <w:rPr>
          <w:rFonts w:ascii="Arial" w:hAnsi="Arial" w:cs="Arial"/>
          <w:b/>
          <w:color w:val="555555"/>
          <w:sz w:val="24"/>
        </w:rPr>
      </w:pPr>
      <w:r>
        <w:rPr>
          <w:rFonts w:ascii="Arial" w:hAnsi="Arial" w:cs="Arial"/>
          <w:b/>
          <w:color w:val="555555"/>
          <w:sz w:val="24"/>
        </w:rPr>
        <w:t>MUNICIPALIDAD DE GENERAL PUEYRREDON</w:t>
      </w:r>
    </w:p>
    <w:p w:rsidR="000839A3" w:rsidRDefault="000839A3" w:rsidP="000839A3">
      <w:pPr>
        <w:jc w:val="center"/>
        <w:rPr>
          <w:rFonts w:ascii="Arial" w:hAnsi="Arial" w:cs="Arial"/>
          <w:b/>
          <w:color w:val="555555"/>
          <w:sz w:val="24"/>
        </w:rPr>
      </w:pPr>
      <w:r>
        <w:rPr>
          <w:rFonts w:ascii="Arial" w:hAnsi="Arial" w:cs="Arial"/>
          <w:b/>
          <w:color w:val="555555"/>
          <w:sz w:val="24"/>
        </w:rPr>
        <w:t>SECRETARIA DE PARTICIPACION CIUDADANA Y DESCENTRALIZACION</w:t>
      </w:r>
    </w:p>
    <w:p w:rsidR="000839A3" w:rsidRDefault="000839A3" w:rsidP="000839A3">
      <w:pPr>
        <w:jc w:val="center"/>
        <w:rPr>
          <w:rFonts w:ascii="Arial" w:hAnsi="Arial" w:cs="Arial"/>
          <w:b/>
          <w:color w:val="555555"/>
          <w:sz w:val="24"/>
        </w:rPr>
      </w:pPr>
      <w:r>
        <w:rPr>
          <w:rFonts w:ascii="Arial" w:hAnsi="Arial" w:cs="Arial"/>
          <w:b/>
          <w:color w:val="555555"/>
          <w:sz w:val="24"/>
        </w:rPr>
        <w:t>SUBSECRETARIA DE GOBIERNO DIGITAL Y MEJORA DE PROCESOS</w:t>
      </w:r>
    </w:p>
    <w:p w:rsidR="000839A3" w:rsidRDefault="000839A3" w:rsidP="000839A3">
      <w:pPr>
        <w:jc w:val="center"/>
        <w:rPr>
          <w:rFonts w:ascii="Arial" w:hAnsi="Arial" w:cs="Arial"/>
          <w:b/>
          <w:color w:val="555555"/>
          <w:sz w:val="24"/>
        </w:rPr>
      </w:pPr>
    </w:p>
    <w:p w:rsidR="000839A3" w:rsidRDefault="000839A3" w:rsidP="000839A3">
      <w:pPr>
        <w:jc w:val="center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Concurso Interno de Oposicion y Antecedentes</w:t>
      </w:r>
    </w:p>
    <w:p w:rsidR="000839A3" w:rsidRDefault="000839A3" w:rsidP="000839A3">
      <w:pPr>
        <w:jc w:val="center"/>
        <w:rPr>
          <w:rFonts w:ascii="Arial" w:hAnsi="Arial" w:cs="Arial"/>
          <w:b/>
          <w:color w:val="333333"/>
        </w:rPr>
      </w:pPr>
      <w:r>
        <w:rPr>
          <w:rFonts w:ascii="Arial" w:hAnsi="Arial" w:cs="Arial"/>
          <w:b/>
          <w:color w:val="333333"/>
        </w:rPr>
        <w:t>CARGO: JEFE DE DEPARTAMENTO DE GESTION, DESARROLLO E INNOVACION EN SISTEMAS DE SOFTWARE</w:t>
      </w:r>
    </w:p>
    <w:p w:rsidR="000839A3" w:rsidRDefault="000839A3" w:rsidP="000839A3">
      <w:pPr>
        <w:jc w:val="center"/>
        <w:rPr>
          <w:rFonts w:ascii="Arial" w:hAnsi="Arial" w:cs="Arial"/>
          <w:b/>
          <w:color w:val="333333"/>
        </w:rPr>
      </w:pPr>
      <w:r>
        <w:rPr>
          <w:rFonts w:ascii="Arial" w:hAnsi="Arial" w:cs="Arial"/>
          <w:b/>
          <w:color w:val="333333"/>
        </w:rPr>
        <w:t>C.F. 1-31-00-01 | N de Orden 6733</w:t>
      </w:r>
    </w:p>
    <w:p w:rsidR="000839A3" w:rsidRDefault="000839A3" w:rsidP="000839A3">
      <w:pPr>
        <w:jc w:val="center"/>
        <w:rPr>
          <w:rFonts w:ascii="Arial" w:hAnsi="Arial" w:cs="Arial"/>
          <w:b/>
          <w:color w:val="333333"/>
        </w:rPr>
      </w:pPr>
    </w:p>
    <w:p w:rsidR="000839A3" w:rsidRDefault="000839A3" w:rsidP="000839A3">
      <w:pPr>
        <w:jc w:val="center"/>
        <w:rPr>
          <w:rFonts w:ascii="Arial" w:hAnsi="Arial" w:cs="Arial"/>
          <w:b/>
          <w:color w:val="333333"/>
        </w:rPr>
      </w:pPr>
    </w:p>
    <w:p w:rsidR="000839A3" w:rsidRDefault="000839A3" w:rsidP="000839A3">
      <w:pPr>
        <w:jc w:val="center"/>
        <w:rPr>
          <w:rFonts w:ascii="Arial" w:hAnsi="Arial" w:cs="Arial"/>
          <w:b/>
          <w:color w:val="1B365D"/>
          <w:sz w:val="44"/>
        </w:rPr>
      </w:pPr>
      <w:r>
        <w:rPr>
          <w:rFonts w:ascii="Arial" w:hAnsi="Arial" w:cs="Arial"/>
          <w:b/>
          <w:color w:val="1B365D"/>
          <w:sz w:val="44"/>
        </w:rPr>
        <w:t>PLAN DE TRABAJO</w:t>
      </w:r>
    </w:p>
    <w:p w:rsidR="000839A3" w:rsidRDefault="000839A3" w:rsidP="000839A3">
      <w:pPr>
        <w:jc w:val="center"/>
        <w:rPr>
          <w:rFonts w:ascii="Arial" w:hAnsi="Arial" w:cs="Arial"/>
          <w:b/>
          <w:color w:val="1B365D"/>
          <w:sz w:val="44"/>
        </w:rPr>
      </w:pPr>
    </w:p>
    <w:p w:rsidR="000839A3" w:rsidRDefault="000839A3" w:rsidP="000839A3">
      <w:pPr>
        <w:jc w:val="center"/>
        <w:rPr>
          <w:rFonts w:ascii="Arial" w:hAnsi="Arial" w:cs="Arial"/>
          <w:b/>
          <w:i/>
          <w:color w:val="222222"/>
          <w:sz w:val="24"/>
        </w:rPr>
      </w:pPr>
      <w:r>
        <w:rPr>
          <w:rFonts w:ascii="Arial" w:hAnsi="Arial" w:cs="Arial"/>
          <w:b/>
          <w:i/>
          <w:color w:val="222222"/>
          <w:sz w:val="24"/>
        </w:rPr>
        <w:t>Diagnostico Integral y Propuesta de Mejora para el Funcionamiento del Departamento de Gestion, Desarrollo e Innovacion en Sistemas de Software: Optimizacion con Recursos Actuales y Proyeccion con Incorporacion de Recursos</w:t>
      </w:r>
    </w:p>
    <w:p w:rsidR="000839A3" w:rsidRDefault="000839A3" w:rsidP="000839A3">
      <w:pPr>
        <w:jc w:val="center"/>
        <w:rPr>
          <w:rFonts w:ascii="Arial" w:hAnsi="Arial" w:cs="Arial"/>
          <w:b/>
          <w:i/>
          <w:color w:val="222222"/>
          <w:sz w:val="24"/>
        </w:rPr>
      </w:pPr>
    </w:p>
    <w:p w:rsidR="000839A3" w:rsidRDefault="000839A3" w:rsidP="000839A3">
      <w:pPr>
        <w:jc w:val="center"/>
        <w:rPr>
          <w:rFonts w:ascii="Arial" w:hAnsi="Arial" w:cs="Arial"/>
          <w:i/>
          <w:color w:val="666666"/>
          <w:sz w:val="20"/>
        </w:rPr>
      </w:pPr>
      <w:r>
        <w:rPr>
          <w:rFonts w:ascii="Arial" w:hAnsi="Arial" w:cs="Arial"/>
          <w:i/>
          <w:color w:val="666666"/>
          <w:sz w:val="20"/>
        </w:rPr>
        <w:t>Optimizando los procedimientos organizacionales como columna vertebral para asegurar un software escalable, seguro y sostenible</w:t>
      </w:r>
    </w:p>
    <w:p w:rsidR="000839A3" w:rsidRDefault="000839A3" w:rsidP="000839A3">
      <w:pPr>
        <w:jc w:val="center"/>
        <w:rPr>
          <w:rFonts w:ascii="Arial" w:hAnsi="Arial" w:cs="Arial"/>
          <w:i/>
          <w:color w:val="666666"/>
          <w:sz w:val="20"/>
        </w:rPr>
      </w:pPr>
    </w:p>
    <w:p w:rsidR="000839A3" w:rsidRDefault="000839A3" w:rsidP="000839A3">
      <w:pPr>
        <w:jc w:val="center"/>
        <w:rPr>
          <w:rFonts w:ascii="Arial" w:hAnsi="Arial" w:cs="Arial"/>
          <w:i/>
          <w:color w:val="666666"/>
          <w:sz w:val="20"/>
        </w:rPr>
      </w:pPr>
    </w:p>
    <w:p w:rsidR="000839A3" w:rsidRDefault="000839A3" w:rsidP="000839A3">
      <w:pPr>
        <w:jc w:val="center"/>
        <w:rPr>
          <w:rFonts w:ascii="Arial" w:hAnsi="Arial" w:cs="Arial"/>
          <w:i/>
          <w:color w:val="666666"/>
          <w:sz w:val="20"/>
        </w:rPr>
      </w:pPr>
    </w:p>
    <w:p w:rsidR="000839A3" w:rsidRDefault="000839A3" w:rsidP="000839A3">
      <w:pPr>
        <w:jc w:val="center"/>
        <w:rPr>
          <w:rFonts w:ascii="Arial" w:hAnsi="Arial" w:cs="Arial"/>
          <w:i/>
          <w:color w:val="666666"/>
          <w:sz w:val="20"/>
        </w:rPr>
      </w:pPr>
    </w:p>
    <w:p w:rsidR="000839A3" w:rsidRDefault="000839A3" w:rsidP="000839A3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</w:rPr>
        <w:t>Postulante:</w:t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color w:val="000000"/>
        </w:rPr>
        <w:t>Guido Cassulo</w:t>
      </w:r>
    </w:p>
    <w:p w:rsidR="000839A3" w:rsidRDefault="000839A3" w:rsidP="000839A3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</w:rPr>
        <w:t>Legajo N:</w:t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color w:val="000000"/>
        </w:rPr>
        <w:t>[Completar Legajo]</w:t>
      </w:r>
    </w:p>
    <w:p w:rsidR="000839A3" w:rsidRDefault="000839A3" w:rsidP="000839A3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</w:rPr>
        <w:t>Cargo Actual:</w:t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color w:val="000000"/>
        </w:rPr>
        <w:t>Analista Programador / Personal de Software</w:t>
      </w:r>
    </w:p>
    <w:p w:rsidR="000839A3" w:rsidRDefault="000839A3" w:rsidP="000839A3">
      <w:pPr>
        <w:rPr>
          <w:rFonts w:ascii="Arial" w:hAnsi="Arial" w:cs="Arial"/>
          <w:color w:val="000000"/>
        </w:rPr>
      </w:pPr>
    </w:p>
    <w:p w:rsidR="000839A3" w:rsidRDefault="000839A3" w:rsidP="000839A3">
      <w:pPr>
        <w:rPr>
          <w:rFonts w:ascii="Arial" w:hAnsi="Arial" w:cs="Arial"/>
          <w:color w:val="000000"/>
        </w:rPr>
      </w:pPr>
    </w:p>
    <w:p w:rsidR="000839A3" w:rsidRDefault="000839A3" w:rsidP="000839A3">
      <w:pPr>
        <w:jc w:val="center"/>
        <w:rPr>
          <w:rFonts w:ascii="Arial" w:hAnsi="Arial" w:cs="Arial"/>
          <w:color w:val="555555"/>
          <w:sz w:val="20"/>
        </w:rPr>
      </w:pPr>
      <w:r>
        <w:rPr>
          <w:rFonts w:ascii="Arial" w:hAnsi="Arial" w:cs="Arial"/>
          <w:color w:val="555555"/>
          <w:sz w:val="20"/>
        </w:rPr>
        <w:t>Mar del Plata, Julio de 2026</w:t>
      </w:r>
    </w:p>
    <w:p w:rsidR="000839A3" w:rsidRDefault="000839A3">
      <w:pPr>
        <w:rPr>
          <w:rFonts w:ascii="Arial" w:hAnsi="Arial" w:cs="Arial"/>
          <w:color w:val="555555"/>
          <w:sz w:val="20"/>
        </w:rPr>
      </w:pPr>
      <w:r>
        <w:rPr>
          <w:rFonts w:ascii="Arial" w:hAnsi="Arial" w:cs="Arial"/>
          <w:color w:val="555555"/>
          <w:sz w:val="20"/>
        </w:rPr>
        <w:br w:type="page"/>
      </w:r>
    </w:p>
    <w:p w:rsidR="009D2519" w:rsidRDefault="000839A3" w:rsidP="000839A3">
      <w:pPr>
        <w:spacing w:before="60" w:after="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lastRenderedPageBreak/>
        <w:t>**Diagnóstico Integral y Propuesta de Mejora para el Funcionamiento del Departamento de Gestión, Desarrollo e Innovación en Sistemas de Software: Optimización con recursos actuales y Proyección con incorporación de Recursos.**</w:t>
      </w:r>
    </w:p>
    <w:p w:rsidR="000839A3" w:rsidRDefault="000839A3" w:rsidP="000839A3">
      <w:pPr>
        <w:spacing w:before="280" w:after="80" w:line="240" w:lineRule="auto"/>
        <w:rPr>
          <w:rFonts w:ascii="Arial" w:hAnsi="Arial" w:cs="Arial"/>
          <w:b/>
          <w:color w:val="1B365D"/>
          <w:sz w:val="26"/>
        </w:rPr>
      </w:pPr>
      <w:r>
        <w:rPr>
          <w:rFonts w:ascii="Arial" w:hAnsi="Arial" w:cs="Arial"/>
          <w:b/>
          <w:color w:val="1B365D"/>
          <w:sz w:val="26"/>
        </w:rPr>
        <w:t>1. Abordaje</w:t>
      </w:r>
    </w:p>
    <w:p w:rsidR="000839A3" w:rsidRDefault="000839A3" w:rsidP="000839A3">
      <w:pPr>
        <w:spacing w:before="60" w:after="6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El presente plan de trabajo se estructura en torno a una premisa fundamental: el Departamento de Gestión, Desarrollo e Innovación en Sistemas de Software no debe limitarse a actuar como una "fábrica de código" reactiva, sino consolidarse como el motor estratégico para la modernización de la gestión municipal.</w:t>
      </w:r>
    </w:p>
    <w:p w:rsidR="000839A3" w:rsidRDefault="000839A3" w:rsidP="000839A3">
      <w:pPr>
        <w:spacing w:before="60" w:after="6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Atendiendo al perfil del cargo concursado, el abordaje central radica en **optimizar los procedimientos organizacionales** para transformarlos en la columna vertebral del departamento. Esta estructuración procedimental es el paso ineludible para asegurar que el software municipal trascienda la mera funcionalidad operativa y pase a ser intrínsecamente **escalable, seguro y capaz de responder con agilidad a las necesidades de las diferentes gestiones, tanto presentes como futuras.**</w:t>
      </w:r>
    </w:p>
    <w:p w:rsidR="000839A3" w:rsidRDefault="000839A3" w:rsidP="000839A3">
      <w:pPr>
        <w:spacing w:before="280" w:after="80" w:line="240" w:lineRule="auto"/>
        <w:rPr>
          <w:rFonts w:ascii="Arial" w:hAnsi="Arial" w:cs="Arial"/>
          <w:b/>
          <w:color w:val="1B365D"/>
          <w:sz w:val="26"/>
        </w:rPr>
      </w:pPr>
      <w:r>
        <w:rPr>
          <w:rFonts w:ascii="Arial" w:hAnsi="Arial" w:cs="Arial"/>
          <w:b/>
          <w:color w:val="1B365D"/>
          <w:sz w:val="26"/>
        </w:rPr>
        <w:t>2. Introducción</w:t>
      </w:r>
    </w:p>
    <w:p w:rsidR="000839A3" w:rsidRDefault="000839A3" w:rsidP="000839A3">
      <w:pPr>
        <w:spacing w:before="60" w:after="6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El Departamento de Gestión, Desarrollo e Innovación en Sistemas de Software se encuentra integrado orgánicamente dentro de la **Subsecretaría de Gobierno Digital y Mejora de Procesos**, dependiente de la **Secretaría de Participación Ciudadana y Descentralización** de la Municipalidad de General Pueyrredon (C.F. 1-31-00-01, N° de Orden 6733). Su ubicación en la estructura municipal lo posiciona como el área técnica responsable de posibilitar la transformación digital y soportar operativamente a la totalidad de las Secretarías y dependencias comunales.</w:t>
      </w:r>
    </w:p>
    <w:p w:rsidR="000839A3" w:rsidRDefault="000839A3" w:rsidP="000839A3">
      <w:pPr>
        <w:spacing w:before="60" w:after="6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La misión institucional del Departamento es **diseñar, construir, mantener, integrar y evolucionar las soluciones de software y aplicaciones municipales**, garantizando la continuidad operativa de los servicios, la soberanía sobre el patrimonio informático del Municipio, la protección de los datos de la ciudadanía y la adopción con sentido de innovaciones tecnológicas para responder con agilidad a las demandas de las gestiones presentes y futuras.</w:t>
      </w:r>
    </w:p>
    <w:p w:rsidR="000839A3" w:rsidRDefault="000839A3" w:rsidP="000839A3">
      <w:pPr>
        <w:spacing w:before="60" w:after="6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De acuerdo con la normativa municipal que rige la estructura orgánica y el nomenclador de funciones del área (citada en la bibliografía oficial del concurso), el Departamento tiene encomendadas las siguientes funciones primarias: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**Relevamiento y Análisis de Necesidades:** Relevar, analizar y sistematizar los requerimientos informáticos y funcionales de las distintas dependencias de la administración municipal.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**Planificación y Desarrollo de Software:** Planificar, diseñar, codificar, implementar y mantener los sistemas de software, bases de datos y aplicaciones móviles de uso institucional.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**Modelos de Desarrollo y Documentación:** Definir y homogenizar los modelos de ciclo de vida de desarrollo de software, dictando pautas de documentación técnica, diccionarios de datos y manuales operativos.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**Estándares Técnicos y Calidad:** Establecer y auditar los estándares de codificación, el uso del *template* de arquitectura base municipal, las pautas de *testing* y la seguridad desde la etapa de análisis (*Security by Design*).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**Investigación, Evaluación e Innovación:** Investigar, evaluar e institucionalizar de manera fundamentada nuevas tecnologías, lenguajes de programación, herramientas de desarrollo, marcos ágiles e Inteligencia Artificial.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**Control y Recepción Técnica de Software Tercerizado:** Participar activamente en el seguimiento técnico, control de entregables, pruebas de aceptación y recepción de código fuente de las soluciones desarrolladas por proveedores externos.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**Interoperabilidad e Integración:** Garantizar la integración, reutilización de componentes y comunicación entre los diferentes sistemas municipales para evitar silos aislados de información.</w:t>
      </w:r>
    </w:p>
    <w:p w:rsidR="000839A3" w:rsidRDefault="000839A3" w:rsidP="000839A3">
      <w:pPr>
        <w:spacing w:before="60" w:after="6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Para cumplir con estas funciones normativas frente a la realidad operativa del sector, el presente Plan de Trabajo parte de un diagnóstico exhaustivo de la situación actual y se articula en torno al tema oficial del concurso, estructurándose en un Diagnóstico Integral (FODA), la formulación de Objetivos, la Propuesta de Mejora y Optimización con Recursos Actuales (SIN PRESUPUESTO - Plan Realista), la Proyección con Incorporación de Recursos (CON PRESUPUESTO - Plan Proyectado), y los mecanismos de Implementación, Gestión e Indicadores de Evaluación.</w:t>
      </w:r>
    </w:p>
    <w:p w:rsidR="000839A3" w:rsidRDefault="000839A3" w:rsidP="000839A3">
      <w:pPr>
        <w:spacing w:before="280" w:after="80" w:line="240" w:lineRule="auto"/>
        <w:rPr>
          <w:rFonts w:ascii="Arial" w:hAnsi="Arial" w:cs="Arial"/>
          <w:b/>
          <w:color w:val="1B365D"/>
          <w:sz w:val="26"/>
        </w:rPr>
      </w:pPr>
      <w:r>
        <w:rPr>
          <w:rFonts w:ascii="Arial" w:hAnsi="Arial" w:cs="Arial"/>
          <w:b/>
          <w:color w:val="1B365D"/>
          <w:sz w:val="26"/>
        </w:rPr>
        <w:t>3. Diagnóstico (Análisis FODA)</w:t>
      </w:r>
    </w:p>
    <w:p w:rsidR="000839A3" w:rsidRDefault="000839A3" w:rsidP="000839A3">
      <w:pPr>
        <w:spacing w:before="200" w:after="60" w:line="240" w:lineRule="auto"/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color w:val="222222"/>
        </w:rPr>
        <w:t>Fortalezas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**Personal Técnico Capacitado:** El Departamento dispone de un plantel técnico capacitado capaz de realizar tareas de relevamiento analítico, desarrollo y pruebas de aplicaciones, con un amplio conocimiento del negocio, las normativas y los circuitos administrativos municipales.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**Disponibilidad de Medios e Infraestructura Básica:** Se cuenta con el mobiliario, equipos y herramientas técnicas suficientes para llevar a cabo la Misión y Funciones del Departamento.</w:t>
      </w:r>
    </w:p>
    <w:p w:rsidR="000839A3" w:rsidRDefault="000839A3" w:rsidP="000839A3">
      <w:pPr>
        <w:spacing w:before="200" w:after="60" w:line="240" w:lineRule="auto"/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color w:val="222222"/>
        </w:rPr>
        <w:t>Debilidades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**Fragmentación Tecnológica y Coexistencia Legacy:** Coexistencia caótica de tecnologías obsoletas y sin soporte (WebForms con SQL 2005) junto a entornos modernos (.NET, React, Angular, PHP, PostgreSQL), dificultando el mantenimiento continuo.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**Falta de una Arquitectura Base Estandarizada:** Ausencia de un *template* de arquitectura oficial de cumplimiento obligatorio para uniformar las aplicaciones, dificultando la construcción homogénea de sistemas y la rotación de programadores entre proyectos.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**Multitarea Extrema y Conocimiento Concentrado (*Single Point of Failure*):** La escasa dotación frente a la alta demanda obliga al personal a atender simultáneamente emergencias de sistemas antiguos de diversas áreas y desarrollos nuevos. Esto genera saltos de contexto constantes y un alto riesgo operativo: la existencia de sistemas críticos que dependen del conocimiento exclusivo de una sola persona.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**Aislamiento Operativo entre Dependencias:** La distribución física del personal en dos oficinas distintas sin una figura de coordinación transversal genera descoordinación, aislamiento en silos de información y el riesgo de desarrollar funcionalidades duplicadas por falta de comunicación.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**Estimación y Seguimiento Caóticos:** Uso fragmentado de herramientas para documentar el avance de los proyectos (algunos agentes usan Redmine, otros planillas desactualizadas en Excel o registros informales), impidiendo conocer la capacidad operativa real del departamento.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**Documentación Inexistente o Desigual:** Falta de manuales de relevamiento, documentación técnica o registros de arquitectura, profundizando la dependencia de programadores específicos.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**Pruebas de Software Reactivas:** Al no existir el rol de QA (Quality Assurance) ni herramientas de testeo estandarizadas, la verificación de errores depende de los propios desarrolladores o de los usuarios de los aplicativos.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**Resistencia Interna al Cambio:** Cierta reticencia de algunos agentes a aprender nuevas tecnologías y estándares de desarrollo, insistiendo en utilizar lenguajes o esquemas obsoletos y generando dificultades en la optimización de bases de datos.</w:t>
      </w:r>
    </w:p>
    <w:p w:rsidR="000839A3" w:rsidRDefault="000839A3" w:rsidP="000839A3">
      <w:pPr>
        <w:spacing w:before="200" w:after="60" w:line="240" w:lineRule="auto"/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color w:val="222222"/>
        </w:rPr>
        <w:t>Oportunidades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**Gestión Política Favorable:** Voluntad e interés de las autoridades actuales por optimizar, modernizar y jerarquizar las funciones del Departamento.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**Adopción de Inteligencia Artificial para Agilizar la Producción:** Oportunidad de incorporar herramientas asistidas por IA (asistentes en los IDEs) para acelerar la codificación, automatizar tareas repetitivas de documentación y aumentar la productividad general del departamento.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**Oferta de Capacitaciones Accesibles:** Gran disponibilidad de ofertas de capacitación técnica (nuevas tecnologías, metodologías ágiles e IDEs con IA) que pueden ser aprovechadas para calificar al personal del área.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**Adopción de Marcos Ágiles Híbridos:** Implementación de metodologías ágiles adaptadas a la realidad municipal a costo cero para mejorar y agilizar los procesos de desarrollo.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**Estandarización mediante una Arquitectura Base:** Oportunidad de definir e instituir una arquitectura base a modo de *template* como norma obligatoria para unificar las metodologías y mantener una coherencia en las tecnologías utilizadas.</w:t>
      </w:r>
    </w:p>
    <w:p w:rsidR="000839A3" w:rsidRDefault="000839A3" w:rsidP="000839A3">
      <w:pPr>
        <w:spacing w:before="200" w:after="60" w:line="240" w:lineRule="auto"/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color w:val="222222"/>
        </w:rPr>
        <w:t>Amenazas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**Demandas Institucionales Cambiantes e Imprevistas:** Variación rápida en las prioridades de las distintas Secretarías que exigen respuestas inmediatas y desordenan la planificación del área.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**Dificultad de Integración Técnica con Sistemas y Bases Legacy:** Complejidad para consumir o integrar datos de aplicaciones antiguas que carecen de APIs o servicios web unificados, generando duplicación de funciones al no contar con interfaces modernas de integración.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**Riesgos de Ciberseguridad y Fuga de Información:** Vulnerabilidades en código antiguo no actualizado o uso de herramientas externas que pongan en riesgo la información municipal.</w:t>
      </w:r>
    </w:p>
    <w:p w:rsidR="000839A3" w:rsidRDefault="000839A3" w:rsidP="000839A3">
      <w:pPr>
        <w:spacing w:before="280" w:after="80" w:line="240" w:lineRule="auto"/>
        <w:rPr>
          <w:rFonts w:ascii="Arial" w:hAnsi="Arial" w:cs="Arial"/>
          <w:b/>
          <w:color w:val="1B365D"/>
          <w:sz w:val="26"/>
        </w:rPr>
      </w:pPr>
      <w:r>
        <w:rPr>
          <w:rFonts w:ascii="Arial" w:hAnsi="Arial" w:cs="Arial"/>
          <w:b/>
          <w:color w:val="1B365D"/>
          <w:sz w:val="26"/>
        </w:rPr>
        <w:t>4. Objetivos</w:t>
      </w:r>
    </w:p>
    <w:p w:rsidR="000839A3" w:rsidRDefault="000839A3" w:rsidP="000839A3">
      <w:pPr>
        <w:spacing w:before="200" w:after="60" w:line="240" w:lineRule="auto"/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color w:val="222222"/>
        </w:rPr>
        <w:t>4.1. Objetivo General</w:t>
      </w:r>
    </w:p>
    <w:p w:rsidR="000839A3" w:rsidRDefault="000839A3" w:rsidP="000839A3">
      <w:pPr>
        <w:spacing w:before="60" w:after="6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Fortalecer la capacidad institucional del Departamento de Gestión, Desarrollo e Innovación en Sistemas de Software mediante una organización basada en equipos colaborativos, conocimiento compartido, procedimientos estandarizados y gobierno técnico, asegurando que el software municipal sea seguro, escalable y sostenible en el tiempo.</w:t>
      </w:r>
    </w:p>
    <w:p w:rsidR="000839A3" w:rsidRDefault="000839A3" w:rsidP="000839A3">
      <w:pPr>
        <w:spacing w:before="200" w:after="60" w:line="240" w:lineRule="auto"/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color w:val="222222"/>
        </w:rPr>
        <w:t>4.2. Objetivos Específicos</w:t>
      </w:r>
    </w:p>
    <w:p w:rsidR="000839A3" w:rsidRDefault="000839A3" w:rsidP="000839A3">
      <w:pPr>
        <w:spacing w:before="80" w:after="4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1. Estructurar un modelo de gestión ágil adaptativo (Kanban + Iteraciones) liderado activamente por la Jefatura.</w:t>
      </w:r>
    </w:p>
    <w:p w:rsidR="000839A3" w:rsidRDefault="000839A3" w:rsidP="000839A3">
      <w:pPr>
        <w:spacing w:before="80" w:after="4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2. Eliminar los puntos únicos de falla (*Single Point of Failure*) mediante la asignación de **Referentes Secundarios** en todos los sistemas críticos.</w:t>
      </w:r>
    </w:p>
    <w:p w:rsidR="000839A3" w:rsidRDefault="000839A3" w:rsidP="000839A3">
      <w:pPr>
        <w:spacing w:before="80" w:after="4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3. Desarticular el aislamiento operativo entre las oficinas físicas a través de canales de comunicación abierta y herramientas colaborativas.</w:t>
      </w:r>
    </w:p>
    <w:p w:rsidR="000839A3" w:rsidRDefault="000839A3" w:rsidP="000839A3">
      <w:pPr>
        <w:spacing w:before="80" w:after="4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4. Institucionalizar el uso obligatorio del *template* de arquitectura base municipal y guías de buenas prácticas de programación.</w:t>
      </w:r>
    </w:p>
    <w:p w:rsidR="000839A3" w:rsidRDefault="000839A3" w:rsidP="000839A3">
      <w:pPr>
        <w:spacing w:before="80" w:after="4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5. Establecer un protocolo estricto de **Gobierno Técnico de Proveedores Externos** para garantizar la soberanía del código y la documentación.</w:t>
      </w:r>
    </w:p>
    <w:p w:rsidR="000839A3" w:rsidRDefault="000839A3" w:rsidP="000839A3">
      <w:pPr>
        <w:spacing w:before="80" w:after="4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6. Regular el uso de Inteligencia Artificial mediante pautas de seguridad (escenario real) y proyectar licencias corporativas (escenario ideal).</w:t>
      </w:r>
    </w:p>
    <w:p w:rsidR="000839A3" w:rsidRDefault="000839A3" w:rsidP="000839A3">
      <w:pPr>
        <w:spacing w:before="280" w:after="80" w:line="240" w:lineRule="auto"/>
        <w:rPr>
          <w:rFonts w:ascii="Arial" w:hAnsi="Arial" w:cs="Arial"/>
          <w:b/>
          <w:color w:val="1B365D"/>
          <w:sz w:val="26"/>
        </w:rPr>
      </w:pPr>
      <w:r>
        <w:rPr>
          <w:rFonts w:ascii="Arial" w:hAnsi="Arial" w:cs="Arial"/>
          <w:b/>
          <w:color w:val="1B365D"/>
          <w:sz w:val="26"/>
        </w:rPr>
        <w:t>5. Propuesta de Mejora y Optimización con Recursos Actuales (SIN PRESUPUESTO - Plan Realista)</w:t>
      </w:r>
    </w:p>
    <w:p w:rsidR="000839A3" w:rsidRDefault="000839A3" w:rsidP="000839A3">
      <w:pPr>
        <w:spacing w:before="60" w:after="6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Esta sección constituye el corazón operativo del plan a corto plazo. Agrupa todas las iniciativas procedimentales y organizacionales que se implementarán **utilizando exclusivamente el capital humano y las herramientas existentes (Costo $0)**, transformando los procedimientos en la columna vertebral del departamento:</w:t>
      </w:r>
    </w:p>
    <w:p w:rsidR="000839A3" w:rsidRDefault="000839A3" w:rsidP="000839A3">
      <w:pPr>
        <w:spacing w:before="200" w:after="60" w:line="240" w:lineRule="auto"/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color w:val="222222"/>
        </w:rPr>
        <w:t>1. Implementación de Agilidad Adaptativa y Liderazgo Híbrido de la Jefatura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**Modelo Híbrido (Kanban + Iteraciones Cortas):** Se aplicará *Kanban* para ordenar el mantenimiento continuo e incidencias de sistemas *legacy*, e *iteraciones cortas* (Sprints) para nuevos desarrollos. No se impondrá Scrum de forma rígida a todo el personal.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**El Jefe de Departamento como *Scrum Master Global* y Gestor Gerencial:** La Jefatura asumirá un doble rol activo: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*Como Scrum Master Global:* Orquestará operativamente las células, destrabará bloqueos diarios, facilitará la comunicación entre las dos oficinas físicas y **actuará como filtro coordinador para evitar el desarrollo de funcionalidades duplicadas**.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*Como Gestor Gerencial:* Evaluará el rendimiento global del departamento, medirá la capacidad operativa en Redmine y garantizará la alineación estratégica con las autoridades.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**El "Product Owner" Institucional:** El rol de *Product Owner* recaerá en los referentes o jefaturas de las Secretarías usuarias solicitantes, quienes serán responsables de priorizar su propio *Backlog* de necesidades.</w:t>
      </w:r>
    </w:p>
    <w:p w:rsidR="000839A3" w:rsidRDefault="000839A3" w:rsidP="000839A3">
      <w:pPr>
        <w:spacing w:before="200" w:after="60" w:line="240" w:lineRule="auto"/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color w:val="222222"/>
        </w:rPr>
        <w:t>2. Integración Operativa y Mitigación de Riesgos (Referentes Secundarios)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**Comunicación Abierta entre Oficinas:** Se mantendrá la distribución física en dos dependencias, pero se erradicará el aislamiento *operativo* mediante ceremonias ágiles conjuntas (Dailies de 15 min, Plannings) y uso unificado de repositorios.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**Asignación Dinámica y "Referentes Secundarios":** Para terminar con la dependencia de una sola persona en sistemas críticos, se implementará la figura del *Referente Secundario*. Mediante la asignación dinámica por fases (*shadowing* y capacitación cruzada), un programador acompañará al referente principal en tareas de mantenimiento y análisis, logrando la transferencia práctica del conocimiento sin tocar el escalafón.</w:t>
      </w:r>
    </w:p>
    <w:p w:rsidR="000839A3" w:rsidRDefault="000839A3" w:rsidP="000839A3">
      <w:pPr>
        <w:spacing w:before="200" w:after="60" w:line="240" w:lineRule="auto"/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color w:val="222222"/>
        </w:rPr>
        <w:t>3. Estandarización de Código y Buenas Prácticas (Sin Herramientas Automatizadas)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Dado que actualmente no se cuenta con herramientas de revisión automatizada y la revisión manual cruzada entre pares sobrecargaría a los programadores Senior, la calidad se asegurará **definiendo y exigiendo buenas prácticas de programación y guías de estilo obligatorias**.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**Obligatoriedad del Template de Arquitectura Base:** Se establecerá como norma inquebrantable que todo nuevo desarrollo o refactorización relevante deba construirse sobre la arquitectura base desarrollada en la Municipalidad. Ningún desarrollo nuevo podrá iniciarse en tecnologías obsoletas (*Congelamiento Legacy*).</w:t>
      </w:r>
    </w:p>
    <w:p w:rsidR="000839A3" w:rsidRDefault="000839A3" w:rsidP="000839A3">
      <w:pPr>
        <w:spacing w:before="200" w:after="60" w:line="240" w:lineRule="auto"/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color w:val="222222"/>
        </w:rPr>
        <w:t>4. Control y Recepción Técnica de Software Tercerizado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La contratación externa de software no debe significar la pérdida de control técnico por parte del departamento. Se establecerán pautas procedimentales donde todo proveedor deba: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Alinear su desarrollo a los estándares de arquitectura del Municipio.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Entregar obligatoriamente código fuente, manuales técnicos y diccionarios de datos actualizados.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Someterse a pruebas de recepción validadas por el personal técnico del Departamento antes de la aceptación final.</w:t>
      </w:r>
    </w:p>
    <w:p w:rsidR="000839A3" w:rsidRDefault="000839A3" w:rsidP="000839A3">
      <w:pPr>
        <w:spacing w:before="200" w:after="60" w:line="240" w:lineRule="auto"/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color w:val="222222"/>
        </w:rPr>
        <w:t>5. Pautas para el Uso e Integración de Inteligencia Artificial para Agilizar la Producción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Para aprovechar el potencial de la IA en la aceleración de desarrollos sin comprometer la seguridad institucional: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Se guiará al equipo en el uso de herramientas de IA como asistentes de código para optimizar tiempos de desarrollo y documentación.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Se fijará la pauta clara de no introducir datos personales de ciudadanos ni credenciales sensibles en servicios públicos de IA.</w:t>
      </w:r>
    </w:p>
    <w:p w:rsidR="000839A3" w:rsidRDefault="000839A3" w:rsidP="000839A3">
      <w:pPr>
        <w:spacing w:before="280" w:after="80" w:line="240" w:lineRule="auto"/>
        <w:rPr>
          <w:rFonts w:ascii="Arial" w:hAnsi="Arial" w:cs="Arial"/>
          <w:b/>
          <w:color w:val="1B365D"/>
          <w:sz w:val="26"/>
        </w:rPr>
      </w:pPr>
      <w:r>
        <w:rPr>
          <w:rFonts w:ascii="Arial" w:hAnsi="Arial" w:cs="Arial"/>
          <w:b/>
          <w:color w:val="1B365D"/>
          <w:sz w:val="26"/>
        </w:rPr>
        <w:t>6. Proyección con Incorporación de Recursos (CON PRESUPUESTO - Plan Proyectado a Mediano/Largo Plazo)</w:t>
      </w:r>
    </w:p>
    <w:p w:rsidR="000839A3" w:rsidRDefault="000839A3" w:rsidP="000839A3">
      <w:pPr>
        <w:spacing w:before="60" w:after="6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Esta sección contempla la evolución tecnológica y la innovación del departamento a través de una inversión presupuestaria escalonada y justificada en necesidades concretas:</w:t>
      </w:r>
    </w:p>
    <w:p w:rsidR="000839A3" w:rsidRDefault="000839A3" w:rsidP="000839A3">
      <w:pPr>
        <w:spacing w:before="200" w:after="60" w:line="240" w:lineRule="auto"/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color w:val="222222"/>
        </w:rPr>
        <w:t>1. Herramientas Tecnológicas y Licencias Corporativas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**Licencias Corporativas de IA para IDEs (ej. GitHub Copilot / Tabnine):** Adquisición de licencias corporativas oficiales administradas por el Municipio, garantizando entornos seguros, privados y con tokens oficiales para aumentar drásticamente la productividad del equipo.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**Plataformas de Control Automático de Calidad (ej. SonarQube):** Adquisición de licencias para herramientas de análisis estático que verifiquen automáticamente el cumplimiento de las guías de estilo y detecten deudas técnicas o vulnerabilidades antes de la entrega.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**Migración e Infraestructura en Contenedores (Docker):** Asignación de presupuesto y tiempo operativo para migrar paulatinamente sistemas *legacy* hacia entornos *Dockerizados*. Esto facilitará la labor del Departamento de Infraestructura/Redes (encargado exclusivo de los despliegues y DevOps), entregándoles paquetes estandarizados.</w:t>
      </w:r>
    </w:p>
    <w:p w:rsidR="000839A3" w:rsidRDefault="000839A3" w:rsidP="000839A3">
      <w:pPr>
        <w:spacing w:before="200" w:after="60" w:line="240" w:lineRule="auto"/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color w:val="222222"/>
        </w:rPr>
        <w:t>2. Capacitación Continua Formal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Financiamiento de cursos de formación profesional en **Arquitecturas Limpias (*Clean Architecture*)**, Patrones de Diseño, Microservicios y APIs REST.</w:t>
      </w:r>
    </w:p>
    <w:p w:rsidR="000839A3" w:rsidRDefault="000839A3" w:rsidP="000839A3">
      <w:pPr>
        <w:spacing w:before="200" w:after="60" w:line="240" w:lineRule="auto"/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color w:val="222222"/>
        </w:rPr>
        <w:t>3. Equipamiento para Trabajo Colaborativo Inter-Oficinas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Provisión de insumos informáticos básicos no cuantitativos: adquisición de **webcams y auriculares con micrófono** para los puestos de trabajo, facilitando las reuniones virtuales de coordinación entre las dos oficinas físicas y las áreas usuarias.</w:t>
      </w:r>
    </w:p>
    <w:p w:rsidR="000839A3" w:rsidRDefault="000839A3" w:rsidP="000839A3">
      <w:pPr>
        <w:spacing w:before="280" w:after="80" w:line="240" w:lineRule="auto"/>
        <w:rPr>
          <w:rFonts w:ascii="Arial" w:hAnsi="Arial" w:cs="Arial"/>
          <w:b/>
          <w:color w:val="1B365D"/>
          <w:sz w:val="26"/>
        </w:rPr>
      </w:pPr>
      <w:r>
        <w:rPr>
          <w:rFonts w:ascii="Arial" w:hAnsi="Arial" w:cs="Arial"/>
          <w:b/>
          <w:color w:val="1B365D"/>
          <w:sz w:val="26"/>
        </w:rPr>
        <w:t>7. Implementación y Gestión (Hoja de Ruta por Etapas)</w:t>
      </w:r>
    </w:p>
    <w:p w:rsidR="000839A3" w:rsidRDefault="000839A3" w:rsidP="000839A3">
      <w:pPr>
        <w:spacing w:before="60" w:after="6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La transformación del departamento se ejecutará bajo un marco de **adopción progresiva (Roadmap Ágil)** estructurado en 3 etapas principales y un proceso permanente:</w:t>
      </w:r>
    </w:p>
    <w:p w:rsidR="000839A3" w:rsidRDefault="000839A3" w:rsidP="000839A3">
      <w:pPr>
        <w:spacing w:before="60" w:after="6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```</w:t>
      </w:r>
    </w:p>
    <w:p w:rsidR="000839A3" w:rsidRDefault="000839A3" w:rsidP="000839A3">
      <w:pPr>
        <w:spacing w:before="60" w:after="6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 xml:space="preserve">[Etapa I: Conocer y Ordenar] </w:t>
      </w:r>
      <w:r>
        <w:rPr>
          <w:rFonts w:ascii="Segoe UI Symbol" w:hAnsi="Segoe UI Symbol" w:cs="Segoe UI Symbol"/>
          <w:color w:val="111111"/>
        </w:rPr>
        <w:t>➔</w:t>
      </w:r>
      <w:r>
        <w:rPr>
          <w:rFonts w:ascii="Arial" w:hAnsi="Arial" w:cs="Arial"/>
          <w:color w:val="111111"/>
        </w:rPr>
        <w:t xml:space="preserve"> [Etapa II: Integrar y Estandarizar] </w:t>
      </w:r>
      <w:r>
        <w:rPr>
          <w:rFonts w:ascii="Segoe UI Symbol" w:hAnsi="Segoe UI Symbol" w:cs="Segoe UI Symbol"/>
          <w:color w:val="111111"/>
        </w:rPr>
        <w:t>➔</w:t>
      </w:r>
      <w:r>
        <w:rPr>
          <w:rFonts w:ascii="Arial" w:hAnsi="Arial" w:cs="Arial"/>
          <w:color w:val="111111"/>
        </w:rPr>
        <w:t xml:space="preserve"> [Etapa III: Consolidar e Innovar] </w:t>
      </w:r>
      <w:r>
        <w:rPr>
          <w:rFonts w:ascii="Segoe UI Symbol" w:hAnsi="Segoe UI Symbol" w:cs="Segoe UI Symbol"/>
          <w:color w:val="111111"/>
        </w:rPr>
        <w:t>➔</w:t>
      </w:r>
      <w:r>
        <w:rPr>
          <w:rFonts w:ascii="Arial" w:hAnsi="Arial" w:cs="Arial"/>
          <w:color w:val="111111"/>
        </w:rPr>
        <w:t xml:space="preserve"> [Proceso Permanente]</w:t>
      </w:r>
    </w:p>
    <w:p w:rsidR="000839A3" w:rsidRDefault="000839A3" w:rsidP="000839A3">
      <w:pPr>
        <w:spacing w:before="60" w:after="6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```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**Etapa I – Conocer y Ordenar (Sprints 1 a 4):**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Relevamiento de competencias y consolidación del Inventario de Sistemas.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Conformación de la Cartera Única de Proyectos (evaluación previa de reutilización antes de crear código nuevo).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Unificación del seguimiento obligatorio en Redmine y asignación de los primeros *Referentes Secundarios*.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**Etapa II – Integrar y Estandarizar (Sprints 5 a 12):**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Puesta en marcha de las reuniones de coordinación transversal entre ambas oficinas.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Difusión y exigencia obligatoria de las Guías de Buenas Prácticas y del Template de Arquitectura Base.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Implementación del protocolo de Gobierno Técnico de Proveedores Externos.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**Etapa III – Consolidar y Evaluar (Sprints 13+):**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Evaluación de los indicadores de riesgo operacional.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Paso a producción de aplicaciones dockerizadas en sinergia con el área de Redes.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Implementación gradual de revisiones de código cruzadas (*peer review*) en GitLab para cambios críticos.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**Proceso Permanente – Mejora Continua e Innovación:**</w:t>
      </w:r>
    </w:p>
    <w:p w:rsidR="000839A3" w:rsidRDefault="000839A3" w:rsidP="000839A3">
      <w:pPr>
        <w:spacing w:before="40" w:after="40" w:line="240" w:lineRule="auto"/>
        <w:ind w:left="360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•    Revisión periódica de procedimientos, actualización de capacitaciones y evaluación fundamentada de nuevas tecnologías (IA corporativa y automatización).</w:t>
      </w:r>
    </w:p>
    <w:p w:rsidR="000839A3" w:rsidRDefault="000839A3" w:rsidP="000839A3">
      <w:pPr>
        <w:spacing w:before="280" w:after="80" w:line="240" w:lineRule="auto"/>
        <w:rPr>
          <w:rFonts w:ascii="Arial" w:hAnsi="Arial" w:cs="Arial"/>
          <w:b/>
          <w:color w:val="1B365D"/>
          <w:sz w:val="26"/>
        </w:rPr>
      </w:pPr>
      <w:r>
        <w:rPr>
          <w:rFonts w:ascii="Arial" w:hAnsi="Arial" w:cs="Arial"/>
          <w:b/>
          <w:color w:val="1B365D"/>
          <w:sz w:val="26"/>
        </w:rPr>
        <w:t>8. Evaluación y Control (Matriz Unificada de Indicadores)</w:t>
      </w:r>
    </w:p>
    <w:p w:rsidR="000839A3" w:rsidRDefault="000839A3" w:rsidP="000839A3">
      <w:pPr>
        <w:spacing w:before="60" w:after="6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El éxito de la propuesta se evaluará mediante una combinación de **Métricas Ejecutivas de Proceso** y **Métricas de Reducción de Riesgo Institucional**: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0839A3" w:rsidTr="000839A3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bottom w:val="single" w:sz="4" w:space="0" w:color="auto"/>
            </w:tcBorders>
            <w:shd w:val="clear" w:color="auto" w:fill="1B365D"/>
          </w:tcPr>
          <w:p w:rsidR="000839A3" w:rsidRPr="000839A3" w:rsidRDefault="000839A3" w:rsidP="000839A3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0839A3">
              <w:rPr>
                <w:rFonts w:ascii="Arial" w:hAnsi="Arial" w:cs="Arial"/>
                <w:b/>
                <w:color w:val="FFFFFF"/>
                <w:sz w:val="19"/>
              </w:rPr>
              <w:t>Categoría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1B365D"/>
          </w:tcPr>
          <w:p w:rsidR="000839A3" w:rsidRPr="000839A3" w:rsidRDefault="000839A3" w:rsidP="000839A3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0839A3">
              <w:rPr>
                <w:rFonts w:ascii="Arial" w:hAnsi="Arial" w:cs="Arial"/>
                <w:b/>
                <w:color w:val="FFFFFF"/>
                <w:sz w:val="19"/>
              </w:rPr>
              <w:t>Indicador de Gestión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1B365D"/>
          </w:tcPr>
          <w:p w:rsidR="000839A3" w:rsidRPr="000839A3" w:rsidRDefault="000839A3" w:rsidP="000839A3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0839A3">
              <w:rPr>
                <w:rFonts w:ascii="Arial" w:hAnsi="Arial" w:cs="Arial"/>
                <w:b/>
                <w:color w:val="FFFFFF"/>
                <w:sz w:val="19"/>
              </w:rPr>
              <w:t>Objetivo Estratégico</w:t>
            </w:r>
          </w:p>
        </w:tc>
      </w:tr>
      <w:tr w:rsidR="000839A3" w:rsidTr="000839A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F5F5F5"/>
          </w:tcPr>
          <w:p w:rsidR="000839A3" w:rsidRPr="000839A3" w:rsidRDefault="000839A3" w:rsidP="000839A3">
            <w:pPr>
              <w:spacing w:before="60" w:after="60" w:line="240" w:lineRule="auto"/>
              <w:jc w:val="both"/>
              <w:rPr>
                <w:rFonts w:ascii="Arial" w:hAnsi="Arial" w:cs="Arial"/>
                <w:color w:val="222222"/>
                <w:sz w:val="18"/>
              </w:rPr>
            </w:pPr>
            <w:r w:rsidRPr="000839A3">
              <w:rPr>
                <w:rFonts w:ascii="Arial" w:hAnsi="Arial" w:cs="Arial"/>
                <w:color w:val="222222"/>
                <w:sz w:val="18"/>
              </w:rPr>
              <w:t>**Riesgo Operacional**</w:t>
            </w:r>
          </w:p>
        </w:tc>
        <w:tc>
          <w:tcPr>
            <w:tcW w:w="3118" w:type="dxa"/>
            <w:shd w:val="clear" w:color="auto" w:fill="F5F5F5"/>
          </w:tcPr>
          <w:p w:rsidR="000839A3" w:rsidRPr="000839A3" w:rsidRDefault="000839A3" w:rsidP="000839A3">
            <w:pPr>
              <w:spacing w:before="60" w:after="60" w:line="240" w:lineRule="auto"/>
              <w:jc w:val="both"/>
              <w:rPr>
                <w:rFonts w:ascii="Arial" w:hAnsi="Arial" w:cs="Arial"/>
                <w:color w:val="222222"/>
                <w:sz w:val="18"/>
              </w:rPr>
            </w:pPr>
            <w:r w:rsidRPr="000839A3">
              <w:rPr>
                <w:rFonts w:ascii="Arial" w:hAnsi="Arial" w:cs="Arial"/>
                <w:color w:val="222222"/>
                <w:sz w:val="18"/>
              </w:rPr>
              <w:t>% de Sistemas Críticos con Referente Secundario Asignado</w:t>
            </w:r>
          </w:p>
        </w:tc>
        <w:tc>
          <w:tcPr>
            <w:tcW w:w="3119" w:type="dxa"/>
            <w:shd w:val="clear" w:color="auto" w:fill="F5F5F5"/>
          </w:tcPr>
          <w:p w:rsidR="000839A3" w:rsidRPr="000839A3" w:rsidRDefault="000839A3" w:rsidP="000839A3">
            <w:pPr>
              <w:spacing w:before="60" w:after="60" w:line="240" w:lineRule="auto"/>
              <w:jc w:val="both"/>
              <w:rPr>
                <w:rFonts w:ascii="Arial" w:hAnsi="Arial" w:cs="Arial"/>
                <w:color w:val="222222"/>
                <w:sz w:val="18"/>
              </w:rPr>
            </w:pPr>
            <w:r w:rsidRPr="000839A3">
              <w:rPr>
                <w:rFonts w:ascii="Arial" w:hAnsi="Arial" w:cs="Arial"/>
                <w:color w:val="222222"/>
                <w:sz w:val="18"/>
              </w:rPr>
              <w:t>Tender al 100% para eliminar los *Single Points of Failure*.</w:t>
            </w:r>
          </w:p>
        </w:tc>
      </w:tr>
      <w:tr w:rsidR="000839A3" w:rsidTr="000839A3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0839A3" w:rsidRPr="000839A3" w:rsidRDefault="000839A3" w:rsidP="000839A3">
            <w:pPr>
              <w:spacing w:before="60" w:after="60" w:line="240" w:lineRule="auto"/>
              <w:jc w:val="both"/>
              <w:rPr>
                <w:rFonts w:ascii="Arial" w:hAnsi="Arial" w:cs="Arial"/>
                <w:color w:val="222222"/>
                <w:sz w:val="18"/>
              </w:rPr>
            </w:pPr>
            <w:r w:rsidRPr="000839A3">
              <w:rPr>
                <w:rFonts w:ascii="Arial" w:hAnsi="Arial" w:cs="Arial"/>
                <w:color w:val="222222"/>
                <w:sz w:val="18"/>
              </w:rPr>
              <w:t>**Documentación**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0839A3" w:rsidRPr="000839A3" w:rsidRDefault="000839A3" w:rsidP="000839A3">
            <w:pPr>
              <w:spacing w:before="60" w:after="60" w:line="240" w:lineRule="auto"/>
              <w:jc w:val="both"/>
              <w:rPr>
                <w:rFonts w:ascii="Arial" w:hAnsi="Arial" w:cs="Arial"/>
                <w:color w:val="222222"/>
                <w:sz w:val="18"/>
              </w:rPr>
            </w:pPr>
            <w:r w:rsidRPr="000839A3">
              <w:rPr>
                <w:rFonts w:ascii="Arial" w:hAnsi="Arial" w:cs="Arial"/>
                <w:color w:val="222222"/>
                <w:sz w:val="18"/>
              </w:rPr>
              <w:t>% de Sistemas con Documentación Técnica Mínima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:rsidR="000839A3" w:rsidRPr="000839A3" w:rsidRDefault="000839A3" w:rsidP="000839A3">
            <w:pPr>
              <w:spacing w:before="60" w:after="60" w:line="240" w:lineRule="auto"/>
              <w:jc w:val="both"/>
              <w:rPr>
                <w:rFonts w:ascii="Arial" w:hAnsi="Arial" w:cs="Arial"/>
                <w:color w:val="222222"/>
                <w:sz w:val="18"/>
              </w:rPr>
            </w:pPr>
            <w:r w:rsidRPr="000839A3">
              <w:rPr>
                <w:rFonts w:ascii="Arial" w:hAnsi="Arial" w:cs="Arial"/>
                <w:color w:val="222222"/>
                <w:sz w:val="18"/>
              </w:rPr>
              <w:t>Garantizar la continuidad operativa y retención del conocimiento.</w:t>
            </w:r>
          </w:p>
        </w:tc>
      </w:tr>
      <w:tr w:rsidR="000839A3" w:rsidTr="000839A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F5F5F5"/>
          </w:tcPr>
          <w:p w:rsidR="000839A3" w:rsidRPr="000839A3" w:rsidRDefault="000839A3" w:rsidP="000839A3">
            <w:pPr>
              <w:spacing w:before="60" w:after="60" w:line="240" w:lineRule="auto"/>
              <w:jc w:val="both"/>
              <w:rPr>
                <w:rFonts w:ascii="Arial" w:hAnsi="Arial" w:cs="Arial"/>
                <w:color w:val="222222"/>
                <w:sz w:val="18"/>
              </w:rPr>
            </w:pPr>
            <w:r w:rsidRPr="000839A3">
              <w:rPr>
                <w:rFonts w:ascii="Arial" w:hAnsi="Arial" w:cs="Arial"/>
                <w:color w:val="222222"/>
                <w:sz w:val="18"/>
              </w:rPr>
              <w:t>**Estandarización**</w:t>
            </w:r>
          </w:p>
        </w:tc>
        <w:tc>
          <w:tcPr>
            <w:tcW w:w="3118" w:type="dxa"/>
            <w:shd w:val="clear" w:color="auto" w:fill="F5F5F5"/>
          </w:tcPr>
          <w:p w:rsidR="000839A3" w:rsidRPr="000839A3" w:rsidRDefault="000839A3" w:rsidP="000839A3">
            <w:pPr>
              <w:spacing w:before="60" w:after="60" w:line="240" w:lineRule="auto"/>
              <w:jc w:val="both"/>
              <w:rPr>
                <w:rFonts w:ascii="Arial" w:hAnsi="Arial" w:cs="Arial"/>
                <w:color w:val="222222"/>
                <w:sz w:val="18"/>
              </w:rPr>
            </w:pPr>
            <w:r w:rsidRPr="000839A3">
              <w:rPr>
                <w:rFonts w:ascii="Arial" w:hAnsi="Arial" w:cs="Arial"/>
                <w:color w:val="222222"/>
                <w:sz w:val="18"/>
              </w:rPr>
              <w:t>% de Proyectos Nuevos alineados a la Arquitectura Base</w:t>
            </w:r>
          </w:p>
        </w:tc>
        <w:tc>
          <w:tcPr>
            <w:tcW w:w="3119" w:type="dxa"/>
            <w:shd w:val="clear" w:color="auto" w:fill="F5F5F5"/>
          </w:tcPr>
          <w:p w:rsidR="000839A3" w:rsidRPr="000839A3" w:rsidRDefault="000839A3" w:rsidP="000839A3">
            <w:pPr>
              <w:spacing w:before="60" w:after="60" w:line="240" w:lineRule="auto"/>
              <w:jc w:val="both"/>
              <w:rPr>
                <w:rFonts w:ascii="Arial" w:hAnsi="Arial" w:cs="Arial"/>
                <w:color w:val="222222"/>
                <w:sz w:val="18"/>
              </w:rPr>
            </w:pPr>
            <w:r w:rsidRPr="000839A3">
              <w:rPr>
                <w:rFonts w:ascii="Arial" w:hAnsi="Arial" w:cs="Arial"/>
                <w:color w:val="222222"/>
                <w:sz w:val="18"/>
              </w:rPr>
              <w:t>Garantizar código escalable, mantenible y homogéneo.</w:t>
            </w:r>
          </w:p>
        </w:tc>
      </w:tr>
      <w:tr w:rsidR="000839A3" w:rsidTr="000839A3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0839A3" w:rsidRPr="000839A3" w:rsidRDefault="000839A3" w:rsidP="000839A3">
            <w:pPr>
              <w:spacing w:before="60" w:after="60" w:line="240" w:lineRule="auto"/>
              <w:jc w:val="both"/>
              <w:rPr>
                <w:rFonts w:ascii="Arial" w:hAnsi="Arial" w:cs="Arial"/>
                <w:color w:val="222222"/>
                <w:sz w:val="18"/>
              </w:rPr>
            </w:pPr>
            <w:r w:rsidRPr="000839A3">
              <w:rPr>
                <w:rFonts w:ascii="Arial" w:hAnsi="Arial" w:cs="Arial"/>
                <w:color w:val="222222"/>
                <w:sz w:val="18"/>
              </w:rPr>
              <w:t>**Eficiencia Procesal**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0839A3" w:rsidRPr="000839A3" w:rsidRDefault="000839A3" w:rsidP="000839A3">
            <w:pPr>
              <w:spacing w:before="60" w:after="60" w:line="240" w:lineRule="auto"/>
              <w:jc w:val="both"/>
              <w:rPr>
                <w:rFonts w:ascii="Arial" w:hAnsi="Arial" w:cs="Arial"/>
                <w:color w:val="222222"/>
                <w:sz w:val="18"/>
              </w:rPr>
            </w:pPr>
            <w:r w:rsidRPr="000839A3">
              <w:rPr>
                <w:rFonts w:ascii="Arial" w:hAnsi="Arial" w:cs="Arial"/>
                <w:color w:val="222222"/>
                <w:sz w:val="18"/>
              </w:rPr>
              <w:t xml:space="preserve">*Lead Time* de Desarrollo (Solicitud </w:t>
            </w:r>
            <w:r w:rsidRPr="000839A3">
              <w:rPr>
                <w:rFonts w:ascii="Segoe UI Symbol" w:hAnsi="Segoe UI Symbol" w:cs="Segoe UI Symbol"/>
                <w:color w:val="222222"/>
                <w:sz w:val="18"/>
              </w:rPr>
              <w:t>➔</w:t>
            </w:r>
            <w:r w:rsidRPr="000839A3">
              <w:rPr>
                <w:rFonts w:ascii="Arial" w:hAnsi="Arial" w:cs="Arial"/>
                <w:color w:val="222222"/>
                <w:sz w:val="18"/>
              </w:rPr>
              <w:t xml:space="preserve"> Entrega a Redes)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:rsidR="000839A3" w:rsidRPr="000839A3" w:rsidRDefault="000839A3" w:rsidP="000839A3">
            <w:pPr>
              <w:spacing w:before="60" w:after="60" w:line="240" w:lineRule="auto"/>
              <w:jc w:val="both"/>
              <w:rPr>
                <w:rFonts w:ascii="Arial" w:hAnsi="Arial" w:cs="Arial"/>
                <w:color w:val="222222"/>
                <w:sz w:val="18"/>
              </w:rPr>
            </w:pPr>
            <w:r w:rsidRPr="000839A3">
              <w:rPr>
                <w:rFonts w:ascii="Arial" w:hAnsi="Arial" w:cs="Arial"/>
                <w:color w:val="222222"/>
                <w:sz w:val="18"/>
              </w:rPr>
              <w:t>Reducir los tiempos de entrega mediante priorización ágil.</w:t>
            </w:r>
          </w:p>
        </w:tc>
      </w:tr>
      <w:tr w:rsidR="000839A3" w:rsidTr="000839A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F5F5F5"/>
          </w:tcPr>
          <w:p w:rsidR="000839A3" w:rsidRPr="000839A3" w:rsidRDefault="000839A3" w:rsidP="000839A3">
            <w:pPr>
              <w:spacing w:before="60" w:after="60" w:line="240" w:lineRule="auto"/>
              <w:jc w:val="both"/>
              <w:rPr>
                <w:rFonts w:ascii="Arial" w:hAnsi="Arial" w:cs="Arial"/>
                <w:color w:val="222222"/>
                <w:sz w:val="18"/>
              </w:rPr>
            </w:pPr>
            <w:r w:rsidRPr="000839A3">
              <w:rPr>
                <w:rFonts w:ascii="Arial" w:hAnsi="Arial" w:cs="Arial"/>
                <w:color w:val="222222"/>
                <w:sz w:val="18"/>
              </w:rPr>
              <w:t>**Calidad de Entrega**</w:t>
            </w:r>
          </w:p>
        </w:tc>
        <w:tc>
          <w:tcPr>
            <w:tcW w:w="3118" w:type="dxa"/>
            <w:shd w:val="clear" w:color="auto" w:fill="F5F5F5"/>
          </w:tcPr>
          <w:p w:rsidR="000839A3" w:rsidRPr="000839A3" w:rsidRDefault="000839A3" w:rsidP="000839A3">
            <w:pPr>
              <w:spacing w:before="60" w:after="60" w:line="240" w:lineRule="auto"/>
              <w:jc w:val="both"/>
              <w:rPr>
                <w:rFonts w:ascii="Arial" w:hAnsi="Arial" w:cs="Arial"/>
                <w:color w:val="222222"/>
                <w:sz w:val="18"/>
              </w:rPr>
            </w:pPr>
            <w:r w:rsidRPr="000839A3">
              <w:rPr>
                <w:rFonts w:ascii="Arial" w:hAnsi="Arial" w:cs="Arial"/>
                <w:color w:val="222222"/>
                <w:sz w:val="18"/>
              </w:rPr>
              <w:t>Tasa de Defectos Reportados en Post-Producción</w:t>
            </w:r>
          </w:p>
        </w:tc>
        <w:tc>
          <w:tcPr>
            <w:tcW w:w="3119" w:type="dxa"/>
            <w:shd w:val="clear" w:color="auto" w:fill="F5F5F5"/>
          </w:tcPr>
          <w:p w:rsidR="000839A3" w:rsidRPr="000839A3" w:rsidRDefault="000839A3" w:rsidP="000839A3">
            <w:pPr>
              <w:spacing w:before="60" w:after="60" w:line="240" w:lineRule="auto"/>
              <w:jc w:val="both"/>
              <w:rPr>
                <w:rFonts w:ascii="Arial" w:hAnsi="Arial" w:cs="Arial"/>
                <w:color w:val="222222"/>
                <w:sz w:val="18"/>
              </w:rPr>
            </w:pPr>
            <w:r w:rsidRPr="000839A3">
              <w:rPr>
                <w:rFonts w:ascii="Arial" w:hAnsi="Arial" w:cs="Arial"/>
                <w:color w:val="222222"/>
                <w:sz w:val="18"/>
              </w:rPr>
              <w:t>Reducir fallas mediante el cumplimiento de buenas prácticas.</w:t>
            </w:r>
          </w:p>
        </w:tc>
      </w:tr>
      <w:tr w:rsidR="000839A3" w:rsidTr="000839A3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0839A3" w:rsidRPr="000839A3" w:rsidRDefault="000839A3" w:rsidP="000839A3">
            <w:pPr>
              <w:spacing w:before="60" w:after="60" w:line="240" w:lineRule="auto"/>
              <w:jc w:val="both"/>
              <w:rPr>
                <w:rFonts w:ascii="Arial" w:hAnsi="Arial" w:cs="Arial"/>
                <w:color w:val="222222"/>
                <w:sz w:val="18"/>
              </w:rPr>
            </w:pPr>
            <w:r w:rsidRPr="000839A3">
              <w:rPr>
                <w:rFonts w:ascii="Arial" w:hAnsi="Arial" w:cs="Arial"/>
                <w:color w:val="222222"/>
                <w:sz w:val="18"/>
              </w:rPr>
              <w:t>**Control de Terceros**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0839A3" w:rsidRPr="000839A3" w:rsidRDefault="000839A3" w:rsidP="000839A3">
            <w:pPr>
              <w:spacing w:before="60" w:after="60" w:line="240" w:lineRule="auto"/>
              <w:jc w:val="both"/>
              <w:rPr>
                <w:rFonts w:ascii="Arial" w:hAnsi="Arial" w:cs="Arial"/>
                <w:color w:val="222222"/>
                <w:sz w:val="18"/>
              </w:rPr>
            </w:pPr>
            <w:r w:rsidRPr="000839A3">
              <w:rPr>
                <w:rFonts w:ascii="Arial" w:hAnsi="Arial" w:cs="Arial"/>
                <w:color w:val="222222"/>
                <w:sz w:val="18"/>
              </w:rPr>
              <w:t>% de Desarrollos Externos con Recepción Técnica Aprobada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:rsidR="000839A3" w:rsidRPr="000839A3" w:rsidRDefault="000839A3" w:rsidP="000839A3">
            <w:pPr>
              <w:spacing w:before="60" w:after="60" w:line="240" w:lineRule="auto"/>
              <w:jc w:val="both"/>
              <w:rPr>
                <w:rFonts w:ascii="Arial" w:hAnsi="Arial" w:cs="Arial"/>
                <w:color w:val="222222"/>
                <w:sz w:val="18"/>
              </w:rPr>
            </w:pPr>
            <w:r w:rsidRPr="000839A3">
              <w:rPr>
                <w:rFonts w:ascii="Arial" w:hAnsi="Arial" w:cs="Arial"/>
                <w:color w:val="222222"/>
                <w:sz w:val="18"/>
              </w:rPr>
              <w:t>Asegurar la entrega de código fuente y documentación por proveedores.</w:t>
            </w:r>
          </w:p>
        </w:tc>
      </w:tr>
      <w:tr w:rsidR="000839A3" w:rsidTr="000839A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F5F5F5"/>
          </w:tcPr>
          <w:p w:rsidR="000839A3" w:rsidRPr="000839A3" w:rsidRDefault="000839A3" w:rsidP="000839A3">
            <w:pPr>
              <w:spacing w:before="60" w:after="60" w:line="240" w:lineRule="auto"/>
              <w:jc w:val="both"/>
              <w:rPr>
                <w:rFonts w:ascii="Arial" w:hAnsi="Arial" w:cs="Arial"/>
                <w:color w:val="222222"/>
                <w:sz w:val="18"/>
              </w:rPr>
            </w:pPr>
            <w:r w:rsidRPr="000839A3">
              <w:rPr>
                <w:rFonts w:ascii="Arial" w:hAnsi="Arial" w:cs="Arial"/>
                <w:color w:val="222222"/>
                <w:sz w:val="18"/>
              </w:rPr>
              <w:t>**Uso de IA**</w:t>
            </w:r>
          </w:p>
        </w:tc>
        <w:tc>
          <w:tcPr>
            <w:tcW w:w="3118" w:type="dxa"/>
            <w:shd w:val="clear" w:color="auto" w:fill="F5F5F5"/>
          </w:tcPr>
          <w:p w:rsidR="000839A3" w:rsidRPr="000839A3" w:rsidRDefault="000839A3" w:rsidP="000839A3">
            <w:pPr>
              <w:spacing w:before="60" w:after="60" w:line="240" w:lineRule="auto"/>
              <w:jc w:val="both"/>
              <w:rPr>
                <w:rFonts w:ascii="Arial" w:hAnsi="Arial" w:cs="Arial"/>
                <w:color w:val="222222"/>
                <w:sz w:val="18"/>
              </w:rPr>
            </w:pPr>
            <w:r w:rsidRPr="000839A3">
              <w:rPr>
                <w:rFonts w:ascii="Arial" w:hAnsi="Arial" w:cs="Arial"/>
                <w:color w:val="222222"/>
                <w:sz w:val="18"/>
              </w:rPr>
              <w:t>Evaluación e Integración de Herramientas de IA</w:t>
            </w:r>
          </w:p>
        </w:tc>
        <w:tc>
          <w:tcPr>
            <w:tcW w:w="3119" w:type="dxa"/>
            <w:shd w:val="clear" w:color="auto" w:fill="F5F5F5"/>
          </w:tcPr>
          <w:p w:rsidR="000839A3" w:rsidRPr="000839A3" w:rsidRDefault="000839A3" w:rsidP="000839A3">
            <w:pPr>
              <w:spacing w:before="60" w:after="60" w:line="240" w:lineRule="auto"/>
              <w:jc w:val="both"/>
              <w:rPr>
                <w:rFonts w:ascii="Arial" w:hAnsi="Arial" w:cs="Arial"/>
                <w:color w:val="222222"/>
                <w:sz w:val="18"/>
              </w:rPr>
            </w:pPr>
            <w:r w:rsidRPr="000839A3">
              <w:rPr>
                <w:rFonts w:ascii="Arial" w:hAnsi="Arial" w:cs="Arial"/>
                <w:color w:val="222222"/>
                <w:sz w:val="18"/>
              </w:rPr>
              <w:t>Aumentar la productividad del departamento resguardando los datos.</w:t>
            </w:r>
          </w:p>
        </w:tc>
      </w:tr>
    </w:tbl>
    <w:p w:rsidR="000839A3" w:rsidRDefault="000839A3" w:rsidP="000839A3">
      <w:pPr>
        <w:spacing w:before="60" w:after="60" w:line="240" w:lineRule="auto"/>
        <w:jc w:val="both"/>
        <w:rPr>
          <w:rFonts w:ascii="Arial" w:hAnsi="Arial" w:cs="Arial"/>
          <w:color w:val="111111"/>
        </w:rPr>
      </w:pPr>
    </w:p>
    <w:p w:rsidR="000839A3" w:rsidRDefault="000839A3" w:rsidP="000839A3">
      <w:pPr>
        <w:spacing w:before="280" w:after="80" w:line="240" w:lineRule="auto"/>
        <w:rPr>
          <w:rFonts w:ascii="Arial" w:hAnsi="Arial" w:cs="Arial"/>
          <w:b/>
          <w:color w:val="1B365D"/>
          <w:sz w:val="26"/>
        </w:rPr>
      </w:pPr>
      <w:r>
        <w:rPr>
          <w:rFonts w:ascii="Arial" w:hAnsi="Arial" w:cs="Arial"/>
          <w:b/>
          <w:color w:val="1B365D"/>
          <w:sz w:val="26"/>
        </w:rPr>
        <w:t>9. Sectores del Departamento (Matriz Dinámica de Trabajo)</w:t>
      </w:r>
    </w:p>
    <w:p w:rsidR="000839A3" w:rsidRDefault="000839A3" w:rsidP="000839A3">
      <w:pPr>
        <w:spacing w:before="60" w:after="6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Aprovechando la estructura del *Grupo Ocupacional Computación* vigente (sin solicitar la creación de nuevos cargos en el escalafón), el flujo operativo se organizará dinámicamente:</w:t>
      </w:r>
    </w:p>
    <w:p w:rsidR="000839A3" w:rsidRDefault="000839A3" w:rsidP="000839A3">
      <w:pPr>
        <w:spacing w:before="80" w:after="4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1.  **Liderazgo Técnico y Arquitectura (*Analistas y Especialistas Senior - Clase XI*):** Encargados del diseño de arquitectura base, análisis funcional complejo, mentoría en la capacitación cruzada y supervisión de los estándares técnicos.</w:t>
      </w:r>
    </w:p>
    <w:p w:rsidR="000839A3" w:rsidRDefault="000839A3" w:rsidP="000839A3">
      <w:pPr>
        <w:spacing w:before="80" w:after="4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2.  **Desarrollo Funcional (*Analistas Programadores Semi-Senior y Programadores - Clases X e IX*):** Enfocados en la codificación de lógica de negocio, construcción de interfaces y corrección de incidencias, operando bajo las guías de estilo estipuladas.</w:t>
      </w:r>
    </w:p>
    <w:p w:rsidR="000839A3" w:rsidRDefault="000839A3" w:rsidP="000839A3">
      <w:pPr>
        <w:spacing w:before="80" w:after="4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3.  **Innovación, Integración y Transferencia (Roles Transversales Rotativos):** Asignaciones dinámicas para acompañar como *Referentes Secundarios*, investigar integraciones entre sistemas y empaquetar software en contenedores Docker.</w:t>
      </w:r>
    </w:p>
    <w:p w:rsidR="000839A3" w:rsidRDefault="000839A3" w:rsidP="000839A3">
      <w:pPr>
        <w:spacing w:before="280" w:after="80" w:line="240" w:lineRule="auto"/>
        <w:rPr>
          <w:rFonts w:ascii="Arial" w:hAnsi="Arial" w:cs="Arial"/>
          <w:b/>
          <w:color w:val="1B365D"/>
          <w:sz w:val="26"/>
        </w:rPr>
      </w:pPr>
      <w:r>
        <w:rPr>
          <w:rFonts w:ascii="Arial" w:hAnsi="Arial" w:cs="Arial"/>
          <w:b/>
          <w:color w:val="1B365D"/>
          <w:sz w:val="26"/>
        </w:rPr>
        <w:t>10. Conclusiones</w:t>
      </w:r>
    </w:p>
    <w:p w:rsidR="000839A3" w:rsidRDefault="000839A3" w:rsidP="000839A3">
      <w:pPr>
        <w:spacing w:before="60" w:after="6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La modernización tecnológica de la Municipalidad requiere un departamento de software ordenado, previsible y sostenible, capaz de trascender a las personas y a los cambios de gestión política.</w:t>
      </w:r>
    </w:p>
    <w:p w:rsidR="000839A3" w:rsidRDefault="000839A3" w:rsidP="000839A3">
      <w:pPr>
        <w:spacing w:before="60" w:after="6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Al implementar un marco de agilidad adaptativa con la Jefatura en un rol activo de **Scrum Master Global y Gestor**, establecer el uso obligatorio de la arquitectura base, instituir la figura de los *Referentes Secundarios* y aplicar un estricto *Gobierno Técnico sobre Proveedores*, se resolverán los problemas históricos de desarticulación, multitarea caótica y conocimiento concentrado.</w:t>
      </w:r>
    </w:p>
    <w:p w:rsidR="000839A3" w:rsidRDefault="000839A3" w:rsidP="000839A3">
      <w:pPr>
        <w:spacing w:before="60" w:after="60" w:line="240" w:lineRule="auto"/>
        <w:jc w:val="both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Esta propuesta demuestra cómo es posible transformar la realidad actual con el uso inteligente de los recursos disponibles (Escenario REAL) y trazar un camino presupuestario sólido para incorporar innovación tecnológica (Escenario IDEAL), asegurando que el código no solo funcione, sino que constituya un activo institucional escalable, seguro y duradero para toda la comunidad.</w:t>
      </w:r>
    </w:p>
    <w:p w:rsidR="000839A3" w:rsidRPr="000839A3" w:rsidRDefault="000839A3" w:rsidP="000839A3">
      <w:pPr>
        <w:spacing w:before="60" w:after="60" w:line="240" w:lineRule="auto"/>
        <w:jc w:val="both"/>
        <w:rPr>
          <w:rFonts w:ascii="Arial" w:hAnsi="Arial" w:cs="Arial"/>
          <w:color w:val="111111"/>
        </w:rPr>
      </w:pPr>
      <w:bookmarkStart w:id="0" w:name="_GoBack"/>
      <w:bookmarkEnd w:id="0"/>
    </w:p>
    <w:sectPr w:rsidR="000839A3" w:rsidRPr="000839A3" w:rsidSect="000839A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850" w:bottom="850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39A3" w:rsidRDefault="000839A3" w:rsidP="000839A3">
      <w:pPr>
        <w:spacing w:after="0" w:line="240" w:lineRule="auto"/>
      </w:pPr>
      <w:r>
        <w:separator/>
      </w:r>
    </w:p>
  </w:endnote>
  <w:endnote w:type="continuationSeparator" w:id="0">
    <w:p w:rsidR="000839A3" w:rsidRDefault="000839A3" w:rsidP="00083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39A3" w:rsidRDefault="000839A3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39A3" w:rsidRPr="000839A3" w:rsidRDefault="000839A3" w:rsidP="000839A3">
    <w:pPr>
      <w:pStyle w:val="Piedepgina"/>
    </w:pPr>
    <w:r>
      <w:rPr>
        <w:rFonts w:ascii="Arial" w:hAnsi="Arial" w:cs="Arial"/>
        <w:color w:val="555555"/>
        <w:sz w:val="18"/>
      </w:rPr>
      <w:fldChar w:fldCharType="begin"/>
    </w:r>
    <w:r>
      <w:rPr>
        <w:rFonts w:ascii="Arial" w:hAnsi="Arial" w:cs="Arial"/>
        <w:color w:val="555555"/>
        <w:sz w:val="18"/>
      </w:rPr>
      <w:instrText xml:space="preserve"> PAGE  \* MERGEFORMAT </w:instrText>
    </w:r>
    <w:r>
      <w:rPr>
        <w:rFonts w:ascii="Arial" w:hAnsi="Arial" w:cs="Arial"/>
        <w:color w:val="555555"/>
        <w:sz w:val="18"/>
      </w:rPr>
      <w:fldChar w:fldCharType="separate"/>
    </w:r>
    <w:r>
      <w:rPr>
        <w:rFonts w:ascii="Arial" w:hAnsi="Arial" w:cs="Arial"/>
        <w:noProof/>
        <w:color w:val="555555"/>
        <w:sz w:val="18"/>
      </w:rPr>
      <w:t>2</w:t>
    </w:r>
    <w:r>
      <w:rPr>
        <w:rFonts w:ascii="Arial" w:hAnsi="Arial" w:cs="Arial"/>
        <w:color w:val="555555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39A3" w:rsidRDefault="000839A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39A3" w:rsidRDefault="000839A3" w:rsidP="000839A3">
      <w:pPr>
        <w:spacing w:after="0" w:line="240" w:lineRule="auto"/>
      </w:pPr>
      <w:r>
        <w:separator/>
      </w:r>
    </w:p>
  </w:footnote>
  <w:footnote w:type="continuationSeparator" w:id="0">
    <w:p w:rsidR="000839A3" w:rsidRDefault="000839A3" w:rsidP="000839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39A3" w:rsidRDefault="000839A3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39A3" w:rsidRPr="000839A3" w:rsidRDefault="000839A3" w:rsidP="000839A3">
    <w:pPr>
      <w:pStyle w:val="Encabezado"/>
      <w:jc w:val="right"/>
      <w:rPr>
        <w:rFonts w:ascii="Arial" w:hAnsi="Arial" w:cs="Arial"/>
        <w:color w:val="777777"/>
        <w:sz w:val="17"/>
      </w:rPr>
    </w:pPr>
    <w:r w:rsidRPr="000839A3">
      <w:rPr>
        <w:rFonts w:ascii="Arial" w:hAnsi="Arial" w:cs="Arial"/>
        <w:color w:val="777777"/>
        <w:sz w:val="17"/>
      </w:rPr>
      <w:t>Concurso Interno de Oposicion - Jefatura de Depto. de Gestion, Desarrollo e Innovacion en Sistemas de Software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39A3" w:rsidRDefault="000839A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9A3"/>
    <w:rsid w:val="000839A3"/>
    <w:rsid w:val="003C5AAE"/>
    <w:rsid w:val="00E5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E92E18-C38C-4B17-8D50-43FA95AB6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839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39A3"/>
  </w:style>
  <w:style w:type="paragraph" w:styleId="Piedepgina">
    <w:name w:val="footer"/>
    <w:basedOn w:val="Normal"/>
    <w:link w:val="PiedepginaCar"/>
    <w:uiPriority w:val="99"/>
    <w:unhideWhenUsed/>
    <w:rsid w:val="000839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3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3287</Words>
  <Characters>18080</Characters>
  <Application>Microsoft Office Word</Application>
  <DocSecurity>0</DocSecurity>
  <Lines>150</Lines>
  <Paragraphs>42</Paragraphs>
  <ScaleCrop>false</ScaleCrop>
  <Company/>
  <LinksUpToDate>false</LinksUpToDate>
  <CharactersWithSpaces>21325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Cassulo Guido</dc:creator>
  <cp:keywords/>
  <dc:description/>
  <cp:lastModifiedBy>Cassulo Guido</cp:lastModifiedBy>
  <cp:revision>1</cp:revision>
  <dcterms:created xsi:type="dcterms:W3CDTF">2026-07-27T15:47:00Z</dcterms:created>
  <dcterms:modified xsi:type="dcterms:W3CDTF">2026-07-27T15:47:00Z</dcterms:modified>
</cp:coreProperties>
</file>