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A7178" w:rsidRDefault="00BA7178" w:rsidP="00BA7178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MUNICIPALIDAD DE GENERAL PUEYRREDON</w:t>
      </w:r>
    </w:p>
    <w:p w:rsidR="00BA7178" w:rsidRDefault="00BA7178" w:rsidP="00BA7178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SECRETARIA DE PARTICIPACION CIUDADANA Y DESCENTRALIZACION</w:t>
      </w:r>
    </w:p>
    <w:p w:rsidR="00BA7178" w:rsidRDefault="00BA7178" w:rsidP="00BA7178">
      <w:pPr>
        <w:jc w:val="center"/>
        <w:rPr>
          <w:rFonts w:ascii="Arial" w:hAnsi="Arial" w:cs="Arial"/>
          <w:b/>
          <w:color w:val="555555"/>
          <w:sz w:val="24"/>
        </w:rPr>
      </w:pPr>
      <w:r>
        <w:rPr>
          <w:rFonts w:ascii="Arial" w:hAnsi="Arial" w:cs="Arial"/>
          <w:b/>
          <w:color w:val="555555"/>
          <w:sz w:val="24"/>
        </w:rPr>
        <w:t>SUBSECRETARIA DE GOBIERNO DIGITAL Y MEJORA DE PROCESOS</w:t>
      </w:r>
    </w:p>
    <w:p w:rsidR="00BA7178" w:rsidRDefault="00BA7178" w:rsidP="00BA7178">
      <w:pPr>
        <w:jc w:val="center"/>
        <w:rPr>
          <w:rFonts w:ascii="Arial" w:hAnsi="Arial" w:cs="Arial"/>
          <w:b/>
          <w:color w:val="555555"/>
          <w:sz w:val="24"/>
        </w:rPr>
      </w:pPr>
    </w:p>
    <w:p w:rsidR="00BA7178" w:rsidRDefault="00BA7178" w:rsidP="00BA7178">
      <w:pPr>
        <w:jc w:val="center"/>
        <w:rPr>
          <w:rFonts w:ascii="Arial" w:hAnsi="Arial" w:cs="Arial"/>
          <w:color w:val="333333"/>
        </w:rPr>
      </w:pPr>
      <w:r>
        <w:rPr>
          <w:rFonts w:ascii="Arial" w:hAnsi="Arial" w:cs="Arial"/>
          <w:color w:val="333333"/>
        </w:rPr>
        <w:t>Concurso Interno de Oposicion y Antecedentes</w:t>
      </w:r>
    </w:p>
    <w:p w:rsidR="00BA7178" w:rsidRDefault="00BA7178" w:rsidP="00BA7178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CARGO: JEFE DE DEPARTAMENTO DE GESTION, DESARROLLO E INNOVACION EN SISTEMAS DE SOFTWARE</w:t>
      </w:r>
    </w:p>
    <w:p w:rsidR="00BA7178" w:rsidRDefault="00BA7178" w:rsidP="00BA7178">
      <w:pPr>
        <w:jc w:val="center"/>
        <w:rPr>
          <w:rFonts w:ascii="Arial" w:hAnsi="Arial" w:cs="Arial"/>
          <w:b/>
          <w:color w:val="333333"/>
        </w:rPr>
      </w:pPr>
      <w:r>
        <w:rPr>
          <w:rFonts w:ascii="Arial" w:hAnsi="Arial" w:cs="Arial"/>
          <w:b/>
          <w:color w:val="333333"/>
        </w:rPr>
        <w:t>C.F. 1-31-00-01 | N de Orden 6733</w:t>
      </w:r>
    </w:p>
    <w:p w:rsidR="00BA7178" w:rsidRDefault="00BA7178" w:rsidP="00BA7178">
      <w:pPr>
        <w:jc w:val="center"/>
        <w:rPr>
          <w:rFonts w:ascii="Arial" w:hAnsi="Arial" w:cs="Arial"/>
          <w:b/>
          <w:color w:val="333333"/>
        </w:rPr>
      </w:pPr>
    </w:p>
    <w:p w:rsidR="00BA7178" w:rsidRDefault="00BA7178" w:rsidP="00BA7178">
      <w:pPr>
        <w:jc w:val="center"/>
        <w:rPr>
          <w:rFonts w:ascii="Arial" w:hAnsi="Arial" w:cs="Arial"/>
          <w:b/>
          <w:color w:val="333333"/>
        </w:rPr>
      </w:pPr>
    </w:p>
    <w:p w:rsidR="00BA7178" w:rsidRDefault="00BA7178" w:rsidP="00BA7178">
      <w:pPr>
        <w:jc w:val="center"/>
        <w:rPr>
          <w:rFonts w:ascii="Arial" w:hAnsi="Arial" w:cs="Arial"/>
          <w:b/>
          <w:color w:val="1B365D"/>
          <w:sz w:val="44"/>
        </w:rPr>
      </w:pPr>
      <w:r>
        <w:rPr>
          <w:rFonts w:ascii="Arial" w:hAnsi="Arial" w:cs="Arial"/>
          <w:b/>
          <w:color w:val="1B365D"/>
          <w:sz w:val="44"/>
        </w:rPr>
        <w:t>PLAN DE TRABAJO</w:t>
      </w:r>
    </w:p>
    <w:p w:rsidR="00BA7178" w:rsidRDefault="00BA7178" w:rsidP="00BA7178">
      <w:pPr>
        <w:jc w:val="center"/>
        <w:rPr>
          <w:rFonts w:ascii="Arial" w:hAnsi="Arial" w:cs="Arial"/>
          <w:b/>
          <w:color w:val="1B365D"/>
          <w:sz w:val="44"/>
        </w:rPr>
      </w:pPr>
    </w:p>
    <w:p w:rsidR="00BA7178" w:rsidRDefault="00BA7178" w:rsidP="00BA7178">
      <w:pPr>
        <w:jc w:val="center"/>
        <w:rPr>
          <w:rFonts w:ascii="Arial" w:hAnsi="Arial" w:cs="Arial"/>
          <w:b/>
          <w:i/>
          <w:color w:val="222222"/>
          <w:sz w:val="24"/>
        </w:rPr>
      </w:pPr>
      <w:r>
        <w:rPr>
          <w:rFonts w:ascii="Arial" w:hAnsi="Arial" w:cs="Arial"/>
          <w:b/>
          <w:i/>
          <w:color w:val="222222"/>
          <w:sz w:val="24"/>
        </w:rPr>
        <w:t>Diagnostico Integral y Propuesta de Mejora para el Funcionamiento del Departamento de Gestion, Desarrollo e Innovacion en Sistemas de Software: Optimizacion con Recursos Actuales y Proyeccion con Incorporacion de Recursos</w:t>
      </w:r>
    </w:p>
    <w:p w:rsidR="00BA7178" w:rsidRDefault="00BA7178" w:rsidP="00BA7178">
      <w:pPr>
        <w:jc w:val="center"/>
        <w:rPr>
          <w:rFonts w:ascii="Arial" w:hAnsi="Arial" w:cs="Arial"/>
          <w:b/>
          <w:i/>
          <w:color w:val="222222"/>
          <w:sz w:val="24"/>
        </w:rPr>
      </w:pPr>
    </w:p>
    <w:p w:rsidR="00BA7178" w:rsidRDefault="00BA7178" w:rsidP="00BA7178">
      <w:pPr>
        <w:jc w:val="center"/>
        <w:rPr>
          <w:rFonts w:ascii="Arial" w:hAnsi="Arial" w:cs="Arial"/>
          <w:i/>
          <w:color w:val="666666"/>
          <w:sz w:val="20"/>
        </w:rPr>
      </w:pPr>
      <w:r>
        <w:rPr>
          <w:rFonts w:ascii="Arial" w:hAnsi="Arial" w:cs="Arial"/>
          <w:i/>
          <w:color w:val="666666"/>
          <w:sz w:val="20"/>
        </w:rPr>
        <w:t>Optimizando los procedimientos organizacionales como columna vertebral para asegurar un software escalable, seguro y sostenible</w:t>
      </w:r>
    </w:p>
    <w:p w:rsidR="00BA7178" w:rsidRDefault="00BA7178" w:rsidP="00BA7178">
      <w:pPr>
        <w:jc w:val="center"/>
        <w:rPr>
          <w:rFonts w:ascii="Arial" w:hAnsi="Arial" w:cs="Arial"/>
          <w:i/>
          <w:color w:val="666666"/>
          <w:sz w:val="20"/>
        </w:rPr>
      </w:pPr>
    </w:p>
    <w:p w:rsidR="00BA7178" w:rsidRDefault="00BA7178" w:rsidP="00BA7178">
      <w:pPr>
        <w:jc w:val="center"/>
        <w:rPr>
          <w:rFonts w:ascii="Arial" w:hAnsi="Arial" w:cs="Arial"/>
          <w:i/>
          <w:color w:val="666666"/>
          <w:sz w:val="20"/>
        </w:rPr>
      </w:pPr>
    </w:p>
    <w:p w:rsidR="00BA7178" w:rsidRDefault="00BA7178" w:rsidP="00BA7178">
      <w:pPr>
        <w:jc w:val="center"/>
        <w:rPr>
          <w:rFonts w:ascii="Arial" w:hAnsi="Arial" w:cs="Arial"/>
          <w:i/>
          <w:color w:val="666666"/>
          <w:sz w:val="20"/>
        </w:rPr>
      </w:pPr>
    </w:p>
    <w:p w:rsidR="00BA7178" w:rsidRDefault="00BA7178" w:rsidP="00BA7178">
      <w:pPr>
        <w:jc w:val="center"/>
        <w:rPr>
          <w:rFonts w:ascii="Arial" w:hAnsi="Arial" w:cs="Arial"/>
          <w:i/>
          <w:color w:val="666666"/>
          <w:sz w:val="20"/>
        </w:rPr>
      </w:pPr>
    </w:p>
    <w:p w:rsidR="00BA7178" w:rsidRDefault="00BA7178" w:rsidP="00BA7178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Postulante: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Guido Cassulo</w:t>
      </w:r>
    </w:p>
    <w:p w:rsidR="00BA7178" w:rsidRDefault="00BA7178" w:rsidP="00BA7178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Legajo N: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[Completar Legajo]</w:t>
      </w:r>
    </w:p>
    <w:p w:rsidR="00BA7178" w:rsidRDefault="00BA7178" w:rsidP="00BA7178">
      <w:pPr>
        <w:rPr>
          <w:rFonts w:ascii="Arial" w:hAnsi="Arial" w:cs="Arial"/>
          <w:color w:val="000000"/>
        </w:rPr>
      </w:pPr>
      <w:r>
        <w:rPr>
          <w:rFonts w:ascii="Arial" w:hAnsi="Arial" w:cs="Arial"/>
          <w:b/>
          <w:color w:val="000000"/>
        </w:rPr>
        <w:t>Cargo Actual:</w:t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b/>
          <w:color w:val="000000"/>
        </w:rPr>
        <w:tab/>
      </w:r>
      <w:r>
        <w:rPr>
          <w:rFonts w:ascii="Arial" w:hAnsi="Arial" w:cs="Arial"/>
          <w:color w:val="000000"/>
        </w:rPr>
        <w:t>Analista Programador / Personal de Software</w:t>
      </w:r>
    </w:p>
    <w:p w:rsidR="00BA7178" w:rsidRDefault="00BA7178" w:rsidP="00BA7178">
      <w:pPr>
        <w:rPr>
          <w:rFonts w:ascii="Arial" w:hAnsi="Arial" w:cs="Arial"/>
          <w:color w:val="000000"/>
        </w:rPr>
      </w:pPr>
    </w:p>
    <w:p w:rsidR="00BA7178" w:rsidRDefault="00BA7178" w:rsidP="00BA7178">
      <w:pPr>
        <w:rPr>
          <w:rFonts w:ascii="Arial" w:hAnsi="Arial" w:cs="Arial"/>
          <w:color w:val="000000"/>
        </w:rPr>
      </w:pPr>
    </w:p>
    <w:p w:rsidR="00BA7178" w:rsidRDefault="00BA7178" w:rsidP="00BA7178">
      <w:pPr>
        <w:jc w:val="center"/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t>Mar del Plata, Julio de 2026</w:t>
      </w:r>
    </w:p>
    <w:p w:rsidR="00BA7178" w:rsidRDefault="00BA7178">
      <w:pPr>
        <w:rPr>
          <w:rFonts w:ascii="Arial" w:hAnsi="Arial" w:cs="Arial"/>
          <w:color w:val="555555"/>
          <w:sz w:val="20"/>
        </w:rPr>
      </w:pPr>
      <w:r>
        <w:rPr>
          <w:rFonts w:ascii="Arial" w:hAnsi="Arial" w:cs="Arial"/>
          <w:color w:val="555555"/>
          <w:sz w:val="20"/>
        </w:rPr>
        <w:br w:type="page"/>
      </w:r>
    </w:p>
    <w:p w:rsidR="009D2519" w:rsidRDefault="00BA7178" w:rsidP="00BA7178">
      <w:pPr>
        <w:spacing w:before="60" w:after="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lastRenderedPageBreak/>
        <w:t>**Diagnóstico Integral y Propuesta de Mejora para el Funcionamiento del Departamento de Gestión, Desarrollo e Innovación en Sistemas de Software: Optimización con recursos actuales y Proyección con incorporación de Recursos.**</w:t>
      </w: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1. Abordaje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presente plan de trabajo se estructura en torno a una premisa fundamental: el Departamento de Gestión, Desarrollo e Innovación en Sistemas de Software no debe limitarse a actuar como una "fábrica de código" reactiva, sino consolidarse como el motor estratégico para la modernización de la gestión municipal.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Atendiendo al perfil del cargo concursado, el abordaje central radica en **optimizar los procedimientos organizacionales** para transformarlos en la columna vertebral del departamento. Esta estructuración procedimental es el paso ineludible para asegurar que el software municipal trascienda la mera funcionalidad operativa y pase a ser intrínsecamente **escalable, seguro y capaz de responder con agilidad a las necesidades de las diferentes gestiones, tanto presentes como futuras.**</w:t>
      </w: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2. Introducción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de Gestión, Desarrollo e Innovación en Sistemas de Software se encuentra integrado orgánicamente dentro de la **Subsecretaría de Gobierno Digital y Mejora de Procesos**, dependiente de la **Secretaría de Participación Ciudadana y Descentralización** de la Municipalidad de General Pueyrredon (C.F. 1-31-00-01, N° de Orden 6733). Su ubicación en la estructura municipal lo posiciona como el área técnica responsable de posibilitar la transformación digital y soportar operativamente a la totalidad de las Secretarías y dependencias comunales.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misión institucional del Departamento es **diseñar, construir, mantener, integrar y evolucionar las soluciones de software y aplicaciones municipales**, garantizando la continuidad operativa de los servicios, la soberanía sobre el patrimonio informático del Municipio, la protección de los datos de la ciudadanía y la adopción con sentido de innovaciones tecnológicas para responder con agilidad a las demandas de las gestiones presentes y futuras.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De acuerdo con la normativa municipal que rige la estructura orgánica y el nomenclador de funciones del área (citada en la bibliografía oficial del concurso), el Departamento tiene encomendadas las siguientes funciones primarias: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**Relevamiento y Análisis de Necesidades:** Relevar, analizar y sistematizar los requerimientos informáticos y funcionales de las distintas dependencias de la administración municipal.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**Planificación y Desarrollo de Software:** Planificar, diseñar, codificar, implementar y mantener los sistemas de software, bases de datos y aplicaciones móviles de uso institucional.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**Modelos de Desarrollo y Documentación:** Definir y homogenizar los modelos de ciclo de vida de desarrollo de software, dictando pautas de documentación técnica, diccionarios de datos y manuales operativos.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**Estándares Técnicos y Calidad:** Establecer y auditar los estándares de codificación, el uso del *template* de arquitectura base municipal, las pautas de *testing* y la seguridad desde la etapa de análisis (*Security by Design*).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**Investigación, Evaluación e Innovación:** Investigar, evaluar e institucionalizar de manera fundamentada nuevas tecnologías, lenguajes de programación, herramientas de desarrollo, marcos ágiles e Inteligencia Artificial.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**Control y Recepción Técnica de Software Tercerizado:** Participar activamente en el seguimiento técnico, control de entregables, pruebas de aceptación y recepción de código fuente de las soluciones desarrolladas por proveedores externos.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**Interoperabilidad e Integración:** Garantizar la integración, reutilización de componentes y comunicación entre los diferentes sistemas municipales para evitar silos aislados de información.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Para cumplir con estas funciones normativas frente a la realidad operativa del sector, el presente Plan de Trabajo parte de un diagnóstico exhaustivo de la situación actual y se articula en torno al tema oficial del concurso, estructurándose en un Diagnóstico Integral (FODA), la formulación de Objetivos, la Propuesta de Mejora y Optimización con Recursos Actuales (SIN PRESUPUESTO - Plan Realista), la Proyección con Incorporación de Recursos (CON PRESUPUESTO - Plan Proyectado), y los mecanismos de Implementación, Gestión e Indicadores de Evaluación.</w:t>
      </w: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3. Diagnóstico (Análisis FODA)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Fortalezas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Personal Técnico Capacitado: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Departamento dispone de un plantel técnico capacitado capaz de realizar tareas de relevamiento analítico, desarrollo y pruebas de aplicaciones, con un amplio conocimiento del negocio, las normativas y los circuitos administrativos municipales.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Disponibilidad de medios: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Se cuenta con el suficiente mobiliario y herramientas técnicas suficientes para llevar a cabo la Misión y Funciones del Departamento.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Debilidades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Fragmentación Tecnológica: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Coexistencia caótica de tecnologías obsoletas y sin soporte actual (WebForms con SQL 2005) junto a tecnologías modernas (.NET, React, Angular, PHP, PostgreSQL), dificultando el mantenimiento continuo.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Falta de una Arquitectura Base Estandarizada: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Ausencia de un template de arquitectura oficial de cumplimiento obligatorio para uniformar las aplicaciones, dificultando la construcción homogénea de sistemas y la rotación de programadores entre proyectos.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Multitarea Extrema y Conocimiento Concentrado: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escasa dotación frente a la alta demanda obliga al personal a atender simultáneamente emergencias de sistemas antiguos de diversas áreas y desarrollos nuevos. Esto genera saltos de contexto constantes y un alto riesgo operativo: la existencia de sistemas críticos que dependen del conocimiento exclusivo de una sola persona.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Aislamiento Operativo entre Dependencias: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distribución física del personal en dos oficinas distintas sin una figura de coordinación transversal genera descoordinación, aislamiento en silos de información y el riesgo de desarrollar funcionalidades duplicadas por falta de comunicación.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Estimación y Seguimiento Caóticos: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Uso fragmentado de herramientas para documentar el avance de los proyectos (algunos agentes usan Redmine, otros planillas desactualizadas en Excel o registros informales), impidiendo conocer la capacidad operativa real del departamento.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Documentación Inexistente o Desigual: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Falta de manuales de relevamiento, técnicos o registros de arquitectura, profundizando la dependencia de programadores específicos.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Pruebas de Software Reactivas: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no existir el rol de QA (Quality Assurance) ni herramientas de testeo estandarizadas, la verificación de errores depende de los propios desarrolladores o de los usuarios de los aplicativos.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Resistencia Interna al Cambio: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Cierta reticencia de algunos agentes a aprender nuevas tecnologías y estándares de desarrollo, insistiendo en utilizar lenguajes o esquemas obsoletos y generando dificultades en la optimización de bases de datos.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Oportunidades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Gestión Política favorable: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gestión actual tiene intención de optimizar y modernizar las funciones del Departamento.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Adopción de Inteligencia Artificial para Agilizar la Producción: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Oportunidad de incorporar herramientas asistidas por IA (asistentes en los IDEs) para acelerar la codificación, automatizar tareas repetitivas de documentación y aumentar la productividad general del departamento.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Capacitaciones disponibles y accesibles: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Hay una gran cantidad de ofertas de capacitaciones técnicas tanto de nuevas tecnologías, metodologías ágiles e IDEs de inteligencia artificial que pueden ser aprovechadas para mejorar las tareas del área.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Adopción de Marcos Ágiles Híbridos: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Implementación de metodologías ágiles adaptadas a la realidad municipal a costo cero para mejorar y agilizar los procesos de desarrollo.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Estandarización mediante una Arquitectura Base: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Oportunidad de definir e instituir una arquitectura base a modo de template como norma obligatoria para unificar las metodologías y mantener una coherencia en las tecnologías utilizadas.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Amenazas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Demandas Institucionales Cambiantes e Imprevistas: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Variación rápida en las prioridades de las distintas Secretarías que exigen respuestas inmediatas y desordenan la planificación del área.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Dificultad de Integración Técnica con Sistemas y Bases Legacy: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Complejidad para consumir o integrar datos de aplicaciones antiguas que carecen de APIs o servicios web unificados, generando duplicación de funciones al no contar con interfaces modernas de integración.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Riesgos de Ciberseguridad y Fuga de Información: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Vulnerabilidades en código antiguo no actualizado o uso de herramientas externas que pongan en riesgo la información municipal.</w:t>
      </w: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4. Objetivos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4.1. Objetivo General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Fortalecer la capacidad institucional del Departamento de Gestión, Desarrollo e Innovación en Sistemas de Software mediante una organización basada en equipos colaborativos, conocimiento compartido, procedimientos estandarizados y gobierno técnico, asegurando que el software municipal sea seguro, escalable y sostenible en el tiempo.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4.2. Objetivos Específicos</w:t>
      </w:r>
    </w:p>
    <w:p w:rsidR="00BA7178" w:rsidRDefault="00BA7178" w:rsidP="00BA7178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Estructurar un modelo de gestión ágil adaptativo (Kanban + Iteraciones) liderado activamente por la Jefatura.</w:t>
      </w:r>
    </w:p>
    <w:p w:rsidR="00BA7178" w:rsidRDefault="00BA7178" w:rsidP="00BA7178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Eliminar los puntos únicos de falla (*Single Point of Failure*) mediante la asignación de **Referentes Secundarios** en todos los sistemas críticos.</w:t>
      </w:r>
    </w:p>
    <w:p w:rsidR="00BA7178" w:rsidRDefault="00BA7178" w:rsidP="00BA7178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Desarticular el aislamiento operativo entre las oficinas físicas a través de canales de comunicación abierta y herramientas colaborativas.</w:t>
      </w:r>
    </w:p>
    <w:p w:rsidR="00BA7178" w:rsidRDefault="00BA7178" w:rsidP="00BA7178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4. Institucionalizar el uso obligatorio del *template* de arquitectura base municipal y guías de buenas prácticas de programación.</w:t>
      </w:r>
    </w:p>
    <w:p w:rsidR="00BA7178" w:rsidRDefault="00BA7178" w:rsidP="00BA7178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5. Establecer un protocolo estricto de **Gobierno Técnico de Proveedores Externos** para garantizar la soberanía del código y la documentación.</w:t>
      </w:r>
    </w:p>
    <w:p w:rsidR="00BA7178" w:rsidRDefault="00BA7178" w:rsidP="00BA7178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6. Regular el uso de Inteligencia Artificial mediante pautas de seguridad (escenario real) y proyectar licencias corporativas (escenario ideal).</w:t>
      </w: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5. Propuesta de Mejora y Optimización con Recursos Actuales (SIN PRESUPUESTO - Plan Realista)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constituye el corazón operativo del plan a corto plazo. Agrupa todas las iniciativas procedimentales y organizacionales que se implementarán **utilizando exclusivamente el capital humano y las herramientas existentes (Costo $0)**, transformando los procedimientos en la columna vertebral del departamento: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Implementación de Agilidad Adaptativa y Liderazgo Híbrido de la Jefatura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**Modelo Híbrido (Kanban + Iteraciones Cortas):** Se aplicará *Kanban* para ordenar el mantenimiento continuo e incidencias de sistemas *legacy*, e *iteraciones cortas* (Sprints) para nuevos desarrollos. No se impondrá Scrum de forma rígida a todo el personal.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Jefe de Departamento como *Scrum Master Global* y Gestor Gerencial:** La Jefatura asumirá un doble rol activo: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Scrum Master Global:* Orquestará operativamente las células, destrabará bloqueos diarios, facilitará la comunicación entre las dos oficinas físicas y **actuará como filtro coordinador para evitar el desarrollo de funcionalidades duplicadas**.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*Como Gestor Gerencial:* Evaluará el rendimiento global del departamento, medirá la capacidad operativa en Redmine y garantizará la alineación estratégica con las autoridades.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**El "Product Owner" Institucional:** El rol de *Product Owner* recaerá en los referentes o jefaturas de las Secretarías usuarias solicitantes, quienes serán responsables de priorizar su propio *Backlog* de necesidades.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Integración Operativa y Mitigación de Riesgos (Referentes Secundarios)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**Comunicación Abierta entre Oficinas:** Se mantendrá la distribución física en dos dependencias, pero se erradicará el aislamiento *operativo* mediante ceremonias ágiles conjuntas (Dailies de 15 min, Plannings) y uso unificado de repositorios.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**Asignación Dinámica y "Referentes Secundarios":** Para terminar con la dependencia de una sola persona en sistemas críticos, se implementará la figura del *Referente Secundario*. Mediante la asignación dinámica por fases (*shadowing* y capacitación cruzada), un programador acompañará al referente principal en tareas de mantenimiento y análisis, logrando la transferencia práctica del conocimiento sin tocar el escalafón.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Estandarización de Código y Buenas Prácticas (Sin Herramientas Automatizadas)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Dado que actualmente no se cuenta con herramientas de revisión automatizada y la revisión manual cruzada entre pares sobrecargaría a los programadores Senior, la calidad se asegurará **definiendo y exigiendo buenas prácticas de programación y guías de estilo obligatorias**.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**Obligatoriedad del Template de Arquitectura Base:** Se establecerá como norma inquebrantable que todo nuevo desarrollo o refactorización relevante deba construirse sobre la arquitectura base desarrollada en la Municipalidad. Ningún desarrollo nuevo podrá iniciarse en tecnologías obsoletas (*Congelamiento Legacy*).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4. Control y Recepción Técnica de Software Tercerizado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La contratación externa de software no debe significar la pérdida de control técnico por parte del departamento. Se establecerán pautas procedimentales donde todo proveedor deba: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Alinear su desarrollo a los estándares de arquitectura del Municipio.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Entregar obligatoriamente código fuente, manuales técnicos y diccionarios de datos actualizados.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Someterse a pruebas de recepción validadas por el personal técnico del Departamento antes de la aceptación final.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5. Pautas para el Uso e Integración de Inteligencia Artificial para Agilizar la Producción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Para aprovechar el potencial de la IA en la aceleración de desarrollos sin comprometer la seguridad institucional: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guiará al equipo en el uso de herramientas de IA como asistentes de código para optimizar tiempos de desarrollo y documentación.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Se fijará la pauta clara de no introducir datos personales de ciudadanos ni credenciales sensibles en servicios públicos de IA.</w:t>
      </w: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6. Proyección con Incorporación de Recursos (CON PRESUPUESTO - Plan Proyectado a Mediano/Largo Plazo)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sección contempla la evolución tecnológica y la innovación del departamento a través de una inversión presupuestaria escalonada y justificada en necesidades concretas: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1. Herramientas Tecnológicas y Licencias Corporativas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**Licencias Corporativas de IA para IDEs (ej. GitHub Copilot / Tabnine):** Adquisición de licencias corporativas oficiales administradas por el Municipio, garantizando entornos seguros, privados y con tokens oficiales para aumentar drásticamente la productividad del equipo.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**Plataformas de Control Automático de Calidad (ej. SonarQube):** Adquisición de licencias para herramientas de análisis estático que verifiquen automáticamente el cumplimiento de las guías de estilo y detecten deudas técnicas o vulnerabilidades antes de la entrega.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**Migración e Infraestructura en Contenedores (Docker):** Asignación de presupuesto y tiempo operativo para migrar paulatinamente sistemas *legacy* hacia entornos *Dockerizados*. Esto facilitará la labor del Departamento de Infraestructura/Redes (encargado exclusivo de los despliegues y DevOps), entregándoles paquetes estandarizados.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2. Capacitación Continua Formal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Financiamiento de cursos de formación profesional en **Arquitecturas Limpias (*Clean Architecture*)**, Patrones de Diseño, Microservicios y APIs REST.</w:t>
      </w:r>
    </w:p>
    <w:p w:rsidR="00BA7178" w:rsidRDefault="00BA7178" w:rsidP="00BA7178">
      <w:pPr>
        <w:spacing w:before="200" w:after="60" w:line="240" w:lineRule="auto"/>
        <w:rPr>
          <w:rFonts w:ascii="Arial" w:hAnsi="Arial" w:cs="Arial"/>
          <w:b/>
          <w:color w:val="222222"/>
        </w:rPr>
      </w:pPr>
      <w:r>
        <w:rPr>
          <w:rFonts w:ascii="Arial" w:hAnsi="Arial" w:cs="Arial"/>
          <w:b/>
          <w:color w:val="222222"/>
        </w:rPr>
        <w:t>3. Equipamiento para Trabajo Colaborativo Inter-Oficinas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Provisión de insumos informáticos básicos no cuantitativos: adquisición de **webcams y auriculares con micrófono** para los puestos de trabajo, facilitando las reuniones virtuales de coordinación entre las dos oficinas físicas y las áreas usuarias.</w:t>
      </w: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7. Implementación y Gestión (Hoja de Ruta por Etapas)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transformación del departamento se ejecutará bajo un marco de **adopción progresiva (Roadmap Ágil)** estructurado en 3 etapas principales y un proceso permanente: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 xml:space="preserve">[Etapa I: Conocer y Ordenar]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II: Integrar y Estandarizar]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[Etapa III: Consolidar e Innovar] </w:t>
      </w:r>
      <w:r>
        <w:rPr>
          <w:rFonts w:ascii="Segoe UI Symbol" w:hAnsi="Segoe UI Symbol" w:cs="Segoe UI Symbol"/>
          <w:color w:val="111111"/>
        </w:rPr>
        <w:t>➔</w:t>
      </w:r>
      <w:r>
        <w:rPr>
          <w:rFonts w:ascii="Arial" w:hAnsi="Arial" w:cs="Arial"/>
          <w:color w:val="111111"/>
        </w:rPr>
        <w:t xml:space="preserve"> [Proceso Permanente]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```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 – Conocer y Ordenar (Sprints 1 a 4):**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Relevamiento de competencias y consolidación del Inventario de Sistemas.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Conformación de la Cartera Única de Proyectos (evaluación previa de reutilización antes de crear código nuevo).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Unificación del seguimiento obligatorio en Redmine y asignación de los primeros *Referentes Secundarios*.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 – Integrar y Estandarizar (Sprints 5 a 12):**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Puesta en marcha de las reuniones de coordinación transversal entre ambas oficinas.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Difusión y exigencia obligatoria de las Guías de Buenas Prácticas y del Template de Arquitectura Base.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del protocolo de Gobierno Técnico de Proveedores Externos.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**Etapa III – Consolidar y Evaluar (Sprints 13+):**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Evaluación de los indicadores de riesgo operacional.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Paso a producción de aplicaciones dockerizadas en sinergia con el área de Redes.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Implementación gradual de revisiones de código cruzadas (*peer review*) en GitLab para cambios críticos.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**Proceso Permanente – Mejora Continua e Innovación:**</w:t>
      </w:r>
    </w:p>
    <w:p w:rsidR="00BA7178" w:rsidRDefault="00BA7178" w:rsidP="00BA7178">
      <w:pPr>
        <w:spacing w:before="40" w:after="40" w:line="240" w:lineRule="auto"/>
        <w:ind w:left="360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•    Revisión periódica de procedimientos, actualización de capacitaciones y evaluación fundamentada de nuevas tecnologías (IA corporativa y automatización).</w:t>
      </w: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8. Evaluación y Control (Matriz Unificada de Indicadores)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El éxito de la propuesta se evaluará mediante una combinación de **Métricas Ejecutivas de Proceso** y **Métricas de Reducción de Riesgo Institucional**: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3118"/>
        <w:gridCol w:w="3119"/>
      </w:tblGrid>
      <w:tr w:rsidR="00BA7178" w:rsidTr="00BA7178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BA7178" w:rsidRPr="00BA7178" w:rsidRDefault="00BA7178" w:rsidP="00BA7178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BA7178">
              <w:rPr>
                <w:rFonts w:ascii="Arial" w:hAnsi="Arial" w:cs="Arial"/>
                <w:b/>
                <w:color w:val="FFFFFF"/>
                <w:sz w:val="19"/>
              </w:rPr>
              <w:t>Categoría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1B365D"/>
          </w:tcPr>
          <w:p w:rsidR="00BA7178" w:rsidRPr="00BA7178" w:rsidRDefault="00BA7178" w:rsidP="00BA7178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BA7178">
              <w:rPr>
                <w:rFonts w:ascii="Arial" w:hAnsi="Arial" w:cs="Arial"/>
                <w:b/>
                <w:color w:val="FFFFFF"/>
                <w:sz w:val="19"/>
              </w:rPr>
              <w:t>Indicador de Gestión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1B365D"/>
          </w:tcPr>
          <w:p w:rsidR="00BA7178" w:rsidRPr="00BA7178" w:rsidRDefault="00BA7178" w:rsidP="00BA7178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/>
                <w:sz w:val="19"/>
              </w:rPr>
            </w:pPr>
            <w:r w:rsidRPr="00BA7178">
              <w:rPr>
                <w:rFonts w:ascii="Arial" w:hAnsi="Arial" w:cs="Arial"/>
                <w:b/>
                <w:color w:val="FFFFFF"/>
                <w:sz w:val="19"/>
              </w:rPr>
              <w:t>Objetivo Estratégico</w:t>
            </w:r>
          </w:p>
        </w:tc>
      </w:tr>
      <w:tr w:rsidR="00BA7178" w:rsidTr="00BA7178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**Riesgo Operacional**</w:t>
            </w:r>
          </w:p>
        </w:tc>
        <w:tc>
          <w:tcPr>
            <w:tcW w:w="3118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% de Sistemas Críticos con Referente Secundario Asignado</w:t>
            </w:r>
          </w:p>
        </w:tc>
        <w:tc>
          <w:tcPr>
            <w:tcW w:w="3119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Tender al 100% para eliminar los *Single Points of Failure*.</w:t>
            </w:r>
          </w:p>
        </w:tc>
      </w:tr>
      <w:tr w:rsidR="00BA7178" w:rsidTr="00BA7178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**Documentación**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% de Sistemas con Documentación Técnica Mínima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Garantizar la continuidad operativa y retención del conocimiento.</w:t>
            </w:r>
          </w:p>
        </w:tc>
      </w:tr>
      <w:tr w:rsidR="00BA7178" w:rsidTr="00BA7178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**Estandarización**</w:t>
            </w:r>
          </w:p>
        </w:tc>
        <w:tc>
          <w:tcPr>
            <w:tcW w:w="3118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% de Proyectos Nuevos alineados a la Arquitectura Base</w:t>
            </w:r>
          </w:p>
        </w:tc>
        <w:tc>
          <w:tcPr>
            <w:tcW w:w="3119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Garantizar código escalable, mantenible y homogéneo.</w:t>
            </w:r>
          </w:p>
        </w:tc>
      </w:tr>
      <w:tr w:rsidR="00BA7178" w:rsidTr="00BA7178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**Eficiencia Procesal**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 xml:space="preserve">*Lead Time* de Desarrollo (Solicitud </w:t>
            </w:r>
            <w:r w:rsidRPr="00BA7178">
              <w:rPr>
                <w:rFonts w:ascii="Segoe UI Symbol" w:hAnsi="Segoe UI Symbol" w:cs="Segoe UI Symbol"/>
                <w:color w:val="222222"/>
                <w:sz w:val="18"/>
              </w:rPr>
              <w:t>➔</w:t>
            </w:r>
            <w:r w:rsidRPr="00BA7178">
              <w:rPr>
                <w:rFonts w:ascii="Arial" w:hAnsi="Arial" w:cs="Arial"/>
                <w:color w:val="222222"/>
                <w:sz w:val="18"/>
              </w:rPr>
              <w:t xml:space="preserve"> Entrega a Redes)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Reducir los tiempos de entrega mediante priorización ágil.</w:t>
            </w:r>
          </w:p>
        </w:tc>
      </w:tr>
      <w:tr w:rsidR="00BA7178" w:rsidTr="00BA7178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**Calidad de Entrega**</w:t>
            </w:r>
          </w:p>
        </w:tc>
        <w:tc>
          <w:tcPr>
            <w:tcW w:w="3118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Tasa de Defectos Reportados en Post-Producción</w:t>
            </w:r>
          </w:p>
        </w:tc>
        <w:tc>
          <w:tcPr>
            <w:tcW w:w="3119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Reducir fallas mediante el cumplimiento de buenas prácticas.</w:t>
            </w:r>
          </w:p>
        </w:tc>
      </w:tr>
      <w:tr w:rsidR="00BA7178" w:rsidTr="00BA7178">
        <w:tblPrEx>
          <w:tblCellMar>
            <w:top w:w="0" w:type="dxa"/>
            <w:bottom w:w="0" w:type="dxa"/>
          </w:tblCellMar>
        </w:tblPrEx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**Control de Terceros**</w:t>
            </w:r>
          </w:p>
        </w:tc>
        <w:tc>
          <w:tcPr>
            <w:tcW w:w="3118" w:type="dxa"/>
            <w:tcBorders>
              <w:bottom w:val="single" w:sz="4" w:space="0" w:color="auto"/>
            </w:tcBorders>
            <w:shd w:val="clear" w:color="auto" w:fill="auto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% de Desarrollos Externos con Recepción Técnica Aprobada</w:t>
            </w:r>
          </w:p>
        </w:tc>
        <w:tc>
          <w:tcPr>
            <w:tcW w:w="3119" w:type="dxa"/>
            <w:tcBorders>
              <w:bottom w:val="single" w:sz="4" w:space="0" w:color="auto"/>
            </w:tcBorders>
            <w:shd w:val="clear" w:color="auto" w:fill="auto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Asegurar la entrega de código fuente y documentación por proveedores.</w:t>
            </w:r>
          </w:p>
        </w:tc>
      </w:tr>
      <w:tr w:rsidR="00BA7178" w:rsidTr="00BA7178">
        <w:tblPrEx>
          <w:tblCellMar>
            <w:top w:w="0" w:type="dxa"/>
            <w:bottom w:w="0" w:type="dxa"/>
          </w:tblCellMar>
        </w:tblPrEx>
        <w:tc>
          <w:tcPr>
            <w:tcW w:w="3118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**Uso de IA**</w:t>
            </w:r>
          </w:p>
        </w:tc>
        <w:tc>
          <w:tcPr>
            <w:tcW w:w="3118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Evaluación e Integración de Herramientas de IA</w:t>
            </w:r>
          </w:p>
        </w:tc>
        <w:tc>
          <w:tcPr>
            <w:tcW w:w="3119" w:type="dxa"/>
            <w:shd w:val="clear" w:color="auto" w:fill="F5F5F5"/>
          </w:tcPr>
          <w:p w:rsidR="00BA7178" w:rsidRPr="00BA7178" w:rsidRDefault="00BA7178" w:rsidP="00BA7178">
            <w:pPr>
              <w:spacing w:before="60" w:after="60" w:line="240" w:lineRule="auto"/>
              <w:jc w:val="both"/>
              <w:rPr>
                <w:rFonts w:ascii="Arial" w:hAnsi="Arial" w:cs="Arial"/>
                <w:color w:val="222222"/>
                <w:sz w:val="18"/>
              </w:rPr>
            </w:pPr>
            <w:r w:rsidRPr="00BA7178">
              <w:rPr>
                <w:rFonts w:ascii="Arial" w:hAnsi="Arial" w:cs="Arial"/>
                <w:color w:val="222222"/>
                <w:sz w:val="18"/>
              </w:rPr>
              <w:t>Aumentar la productividad del departamento resguardando los datos.</w:t>
            </w:r>
          </w:p>
        </w:tc>
      </w:tr>
    </w:tbl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9. Sectores del Departamento (Matriz Dinámica de Trabajo)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Aprovechando la estructura del *Grupo Ocupacional Computación* vigente (sin solicitar la creación de nuevos cargos en el escalafón), el flujo operativo se organizará dinámicamente:</w:t>
      </w:r>
    </w:p>
    <w:p w:rsidR="00BA7178" w:rsidRDefault="00BA7178" w:rsidP="00BA7178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1.  **Liderazgo Técnico y Arquitectura (*Analistas y Especialistas Senior - Clase XI*):** Encargados del diseño de arquitectura base, análisis funcional complejo, mentoría en la capacitación cruzada y supervisión de los estándares técnicos.</w:t>
      </w:r>
    </w:p>
    <w:p w:rsidR="00BA7178" w:rsidRDefault="00BA7178" w:rsidP="00BA7178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2.  **Desarrollo Funcional (*Analistas Programadores Semi-Senior y Programadores - Clases X e IX*):** Enfocados en la codificación de lógica de negocio, construcción de interfaces y corrección de incidencias, operando bajo las guías de estilo estipuladas.</w:t>
      </w:r>
    </w:p>
    <w:p w:rsidR="00BA7178" w:rsidRDefault="00BA7178" w:rsidP="00BA7178">
      <w:pPr>
        <w:spacing w:before="80" w:after="4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3.  **Innovación, Integración y Transferencia (Roles Transversales Rotativos):** Asignaciones dinámicas para acompañar como *Referentes Secundarios*, investigar integraciones entre sistemas y empaquetar software en contenedores Docker.</w:t>
      </w:r>
    </w:p>
    <w:p w:rsidR="00BA7178" w:rsidRDefault="00BA7178" w:rsidP="00BA7178">
      <w:pPr>
        <w:spacing w:before="280" w:after="80" w:line="240" w:lineRule="auto"/>
        <w:rPr>
          <w:rFonts w:ascii="Arial" w:hAnsi="Arial" w:cs="Arial"/>
          <w:b/>
          <w:color w:val="1B365D"/>
          <w:sz w:val="26"/>
        </w:rPr>
      </w:pPr>
      <w:r>
        <w:rPr>
          <w:rFonts w:ascii="Arial" w:hAnsi="Arial" w:cs="Arial"/>
          <w:b/>
          <w:color w:val="1B365D"/>
          <w:sz w:val="26"/>
        </w:rPr>
        <w:t>10. Conclusiones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La modernización tecnológica de la Municipalidad requiere un departamento de software ordenado, previsible y sostenible, capaz de trascender a las personas y a los cambios de gestión política.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Al implementar un marco de agilidad adaptativa con la Jefatura en un rol activo de **Scrum Master Global y Gestor**, establecer el uso obligatorio de la arquitectura base, instituir la figura de los *Referentes Secundarios* y aplicar un estricto *Gobierno Técnico sobre Proveedores*, se resolverán los problemas históricos de desarticulación, multitarea caótica y conocimiento concentrado.</w:t>
      </w:r>
    </w:p>
    <w:p w:rsid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r>
        <w:rPr>
          <w:rFonts w:ascii="Arial" w:hAnsi="Arial" w:cs="Arial"/>
          <w:color w:val="111111"/>
        </w:rPr>
        <w:t>Esta propuesta demuestra cómo es posible transformar la realidad actual con el uso inteligente de los recursos disponibles (Escenario REAL) y trazar un camino presupuestario sólido para incorporar innovación tecnológica (Escenario IDEAL), asegurando que el código no solo funcione, sino que constituya un activo institucional escalable, seguro y duradero para toda la comunidad.</w:t>
      </w:r>
    </w:p>
    <w:p w:rsidR="00BA7178" w:rsidRPr="00BA7178" w:rsidRDefault="00BA7178" w:rsidP="00BA7178">
      <w:pPr>
        <w:spacing w:before="60" w:after="60" w:line="240" w:lineRule="auto"/>
        <w:jc w:val="both"/>
        <w:rPr>
          <w:rFonts w:ascii="Arial" w:hAnsi="Arial" w:cs="Arial"/>
          <w:color w:val="111111"/>
        </w:rPr>
      </w:pPr>
      <w:bookmarkStart w:id="0" w:name="_GoBack"/>
      <w:bookmarkEnd w:id="0"/>
    </w:p>
    <w:sectPr w:rsidR="00BA7178" w:rsidRPr="00BA7178" w:rsidSect="00BA717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0" w:bottom="850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A7178" w:rsidRDefault="00BA7178" w:rsidP="00BA7178">
      <w:pPr>
        <w:spacing w:after="0" w:line="240" w:lineRule="auto"/>
      </w:pPr>
      <w:r>
        <w:separator/>
      </w:r>
    </w:p>
  </w:endnote>
  <w:endnote w:type="continuationSeparator" w:id="0">
    <w:p w:rsidR="00BA7178" w:rsidRDefault="00BA7178" w:rsidP="00BA71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178" w:rsidRDefault="00BA7178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178" w:rsidRPr="00BA7178" w:rsidRDefault="00BA7178" w:rsidP="00BA7178">
    <w:pPr>
      <w:pStyle w:val="Piedepgina"/>
    </w:pPr>
    <w:r>
      <w:rPr>
        <w:rFonts w:ascii="Arial" w:hAnsi="Arial" w:cs="Arial"/>
        <w:color w:val="555555"/>
        <w:sz w:val="18"/>
      </w:rPr>
      <w:fldChar w:fldCharType="begin"/>
    </w:r>
    <w:r>
      <w:rPr>
        <w:rFonts w:ascii="Arial" w:hAnsi="Arial" w:cs="Arial"/>
        <w:color w:val="555555"/>
        <w:sz w:val="18"/>
      </w:rPr>
      <w:instrText xml:space="preserve"> PAGE  \* MERGEFORMAT </w:instrText>
    </w:r>
    <w:r>
      <w:rPr>
        <w:rFonts w:ascii="Arial" w:hAnsi="Arial" w:cs="Arial"/>
        <w:color w:val="555555"/>
        <w:sz w:val="18"/>
      </w:rPr>
      <w:fldChar w:fldCharType="separate"/>
    </w:r>
    <w:r>
      <w:rPr>
        <w:rFonts w:ascii="Arial" w:hAnsi="Arial" w:cs="Arial"/>
        <w:noProof/>
        <w:color w:val="555555"/>
        <w:sz w:val="18"/>
      </w:rPr>
      <w:t>2</w:t>
    </w:r>
    <w:r>
      <w:rPr>
        <w:rFonts w:ascii="Arial" w:hAnsi="Arial" w:cs="Arial"/>
        <w:color w:val="55555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178" w:rsidRDefault="00BA7178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A7178" w:rsidRDefault="00BA7178" w:rsidP="00BA7178">
      <w:pPr>
        <w:spacing w:after="0" w:line="240" w:lineRule="auto"/>
      </w:pPr>
      <w:r>
        <w:separator/>
      </w:r>
    </w:p>
  </w:footnote>
  <w:footnote w:type="continuationSeparator" w:id="0">
    <w:p w:rsidR="00BA7178" w:rsidRDefault="00BA7178" w:rsidP="00BA71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178" w:rsidRDefault="00BA7178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178" w:rsidRPr="00BA7178" w:rsidRDefault="00BA7178" w:rsidP="00BA7178">
    <w:pPr>
      <w:pStyle w:val="Encabezado"/>
      <w:jc w:val="right"/>
      <w:rPr>
        <w:rFonts w:ascii="Arial" w:hAnsi="Arial" w:cs="Arial"/>
        <w:color w:val="777777"/>
        <w:sz w:val="17"/>
      </w:rPr>
    </w:pPr>
    <w:r w:rsidRPr="00BA7178">
      <w:rPr>
        <w:rFonts w:ascii="Arial" w:hAnsi="Arial" w:cs="Arial"/>
        <w:color w:val="777777"/>
        <w:sz w:val="17"/>
      </w:rPr>
      <w:t>Concurso Interno de Oposicion - Jefatura de Depto. de Gestion, Desarrollo e Innovacion en Sistemas de Software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A7178" w:rsidRDefault="00BA7178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7178"/>
    <w:rsid w:val="003C5AAE"/>
    <w:rsid w:val="00BA7178"/>
    <w:rsid w:val="00E5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2CB170-D746-41F4-960A-5C2B84C1F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A71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A7178"/>
  </w:style>
  <w:style w:type="paragraph" w:styleId="Piedepgina">
    <w:name w:val="footer"/>
    <w:basedOn w:val="Normal"/>
    <w:link w:val="PiedepginaCar"/>
    <w:uiPriority w:val="99"/>
    <w:unhideWhenUsed/>
    <w:rsid w:val="00BA71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A71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3250</Words>
  <Characters>17881</Characters>
  <Application>Microsoft Office Word</Application>
  <DocSecurity>0</DocSecurity>
  <Lines>149</Lines>
  <Paragraphs>42</Paragraphs>
  <ScaleCrop>false</ScaleCrop>
  <Company/>
  <LinksUpToDate>false</LinksUpToDate>
  <CharactersWithSpaces>21089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Cassulo Guido</dc:creator>
  <cp:keywords/>
  <dc:description/>
  <cp:lastModifiedBy>Cassulo Guido</cp:lastModifiedBy>
  <cp:revision>1</cp:revision>
  <dcterms:created xsi:type="dcterms:W3CDTF">2026-07-27T15:50:00Z</dcterms:created>
  <dcterms:modified xsi:type="dcterms:W3CDTF">2026-07-27T15:50:00Z</dcterms:modified>
</cp:coreProperties>
</file>