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42106" w:rsidRDefault="00A42106" w:rsidP="00A42106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A42106" w:rsidRDefault="00A42106" w:rsidP="00A42106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A42106" w:rsidRDefault="00A42106" w:rsidP="00A42106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A42106" w:rsidRDefault="00A42106" w:rsidP="00A42106">
      <w:pPr>
        <w:jc w:val="center"/>
        <w:rPr>
          <w:rFonts w:ascii="Arial" w:hAnsi="Arial" w:cs="Arial"/>
          <w:b/>
          <w:color w:val="555555"/>
          <w:sz w:val="24"/>
        </w:rPr>
      </w:pPr>
    </w:p>
    <w:p w:rsidR="00A42106" w:rsidRDefault="00A42106" w:rsidP="00A42106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A42106" w:rsidRDefault="00A42106" w:rsidP="00A42106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A42106" w:rsidRDefault="00A42106" w:rsidP="00A42106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A42106" w:rsidRDefault="00A42106" w:rsidP="00A42106">
      <w:pPr>
        <w:jc w:val="center"/>
        <w:rPr>
          <w:rFonts w:ascii="Arial" w:hAnsi="Arial" w:cs="Arial"/>
          <w:b/>
          <w:color w:val="333333"/>
        </w:rPr>
      </w:pPr>
    </w:p>
    <w:p w:rsidR="00A42106" w:rsidRDefault="00A42106" w:rsidP="00A42106">
      <w:pPr>
        <w:jc w:val="center"/>
        <w:rPr>
          <w:rFonts w:ascii="Arial" w:hAnsi="Arial" w:cs="Arial"/>
          <w:b/>
          <w:color w:val="333333"/>
        </w:rPr>
      </w:pPr>
    </w:p>
    <w:p w:rsidR="00A42106" w:rsidRDefault="00A42106" w:rsidP="00A42106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A42106" w:rsidRDefault="00A42106" w:rsidP="00A42106">
      <w:pPr>
        <w:jc w:val="center"/>
        <w:rPr>
          <w:rFonts w:ascii="Arial" w:hAnsi="Arial" w:cs="Arial"/>
          <w:b/>
          <w:color w:val="1B365D"/>
          <w:sz w:val="44"/>
        </w:rPr>
      </w:pPr>
    </w:p>
    <w:p w:rsidR="00A42106" w:rsidRDefault="00A42106" w:rsidP="00A42106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A42106" w:rsidRDefault="00A42106" w:rsidP="00A42106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A42106" w:rsidRDefault="00A42106" w:rsidP="00A42106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Optimizando los procedimientos organizacionales como columna vertebral para asegurar un software escalable, seguro y sostenible</w:t>
      </w:r>
    </w:p>
    <w:p w:rsidR="00A42106" w:rsidRDefault="00A42106" w:rsidP="00A42106">
      <w:pPr>
        <w:jc w:val="center"/>
        <w:rPr>
          <w:rFonts w:ascii="Arial" w:hAnsi="Arial" w:cs="Arial"/>
          <w:i/>
          <w:color w:val="666666"/>
          <w:sz w:val="20"/>
        </w:rPr>
      </w:pPr>
    </w:p>
    <w:p w:rsidR="00A42106" w:rsidRDefault="00A42106" w:rsidP="00A42106">
      <w:pPr>
        <w:jc w:val="center"/>
        <w:rPr>
          <w:rFonts w:ascii="Arial" w:hAnsi="Arial" w:cs="Arial"/>
          <w:i/>
          <w:color w:val="666666"/>
          <w:sz w:val="20"/>
        </w:rPr>
      </w:pPr>
    </w:p>
    <w:p w:rsidR="00A42106" w:rsidRDefault="00A42106" w:rsidP="00A42106">
      <w:pPr>
        <w:jc w:val="center"/>
        <w:rPr>
          <w:rFonts w:ascii="Arial" w:hAnsi="Arial" w:cs="Arial"/>
          <w:i/>
          <w:color w:val="666666"/>
          <w:sz w:val="20"/>
        </w:rPr>
      </w:pPr>
    </w:p>
    <w:p w:rsidR="00A42106" w:rsidRDefault="00A42106" w:rsidP="00A42106">
      <w:pPr>
        <w:jc w:val="center"/>
        <w:rPr>
          <w:rFonts w:ascii="Arial" w:hAnsi="Arial" w:cs="Arial"/>
          <w:i/>
          <w:color w:val="666666"/>
          <w:sz w:val="20"/>
        </w:rPr>
      </w:pPr>
    </w:p>
    <w:p w:rsidR="00A42106" w:rsidRDefault="00A42106" w:rsidP="00A42106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A42106" w:rsidRDefault="00A42106" w:rsidP="00A42106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A42106" w:rsidRDefault="00A42106" w:rsidP="00A42106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A42106" w:rsidRDefault="00A42106" w:rsidP="00A42106">
      <w:pPr>
        <w:rPr>
          <w:rFonts w:ascii="Arial" w:hAnsi="Arial" w:cs="Arial"/>
          <w:color w:val="000000"/>
        </w:rPr>
      </w:pPr>
    </w:p>
    <w:p w:rsidR="00A42106" w:rsidRDefault="00A42106" w:rsidP="00A42106">
      <w:pPr>
        <w:rPr>
          <w:rFonts w:ascii="Arial" w:hAnsi="Arial" w:cs="Arial"/>
          <w:color w:val="000000"/>
        </w:rPr>
      </w:pPr>
    </w:p>
    <w:p w:rsidR="00A42106" w:rsidRDefault="00A42106" w:rsidP="00A42106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A42106" w:rsidRDefault="00A42106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A42106" w:rsidP="00A42106">
      <w:pPr>
        <w:spacing w:before="40" w:after="12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de Gestión, Desarrollo e Innovación en Sistemas de Software se encuentra integrado orgánicamente dentro de la **Subsecretaría de Gobierno Digital y Mejora de Procesos**, dependiente de la **Secretaría de Participación Ciudadana y Descentralización** de la Municipalidad de General Pueyrredon (C.F. 1-31-00-01, N° de Orden 6733). Su ubicación en la estructura municipal lo posiciona como el área técnica responsable de posibilitar la transformación digital y soportar operativamente a la totalidad de las Secretarías y dependencias comunales.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misión institucional del Departamento es **diseñar, construir, mantener, integrar y evolucionar las soluciones de software y aplicaciones municipales**, garantizando la continuidad operativa de los servicios, la soberanía sobre el patrimonio informático del Municipio, la protección de los datos de la ciudadanía y la adopción con sentido de innovaciones tecnológicas para responder con agilidad a las demandas de las gestiones presentes y futuras.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De acuerdo con la normativa municipal que rige la estructura orgánica y el nomenclador de funciones del área (citada en la bibliografía oficial del concurso), el Departamento tiene encomendadas las siguientes funciones primarias: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**Relevamiento y Análisis de Necesidades:** Relevar, analizar y sistematizar los requerimientos informáticos y funcionales de las distintas dependencias de la administración municipal.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**Planificación y Desarrollo de Software:** Planificar, diseñar, codificar, implementar y mantener los sistemas de software, bases de datos y aplicaciones móviles de uso institucional.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**Modelos de Desarrollo y Documentación:** Definir y homogenizar los modelos de ciclo de vida de desarrollo de software, dictando pautas de documentación técnica, diccionarios de datos y manuales operativos.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**Estándares Técnicos y Calidad:** Establecer y auditar los estándares de codificación, el uso del *template* de arquitectura base municipal, las pautas de *testing* y la seguridad desde la etapa de análisis (*Security by Design*).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**Investigación, Evaluación e Innovación:** Investigar, evaluar e institucionalizar de manera fundamentada nuevas tecnologías, lenguajes de programación, herramientas de desarrollo, marcos ágiles e Inteligencia Artificial.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**Control y Recepción Técnica de Software Tercerizado:** Participar activamente en el seguimiento técnico, control de entregables, pruebas de aceptación y recepción de código fuente de las soluciones desarrolladas por proveedores externos.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**Interoperabilidad e Integración:** Garantizar la integración, reutilización de componentes y comunicación entre los diferentes sistemas municipales para evitar silos aislados de información.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Para cumplir con estas funciones normativas frente a la realidad operativa del sector, el presente Plan de Trabajo parte de un diagnóstico exhaustivo de la situación actual y se articula en torno al tema oficial del concurso, estructurándose en un Diagnóstico Integral (FODA), la formulación de Objetivos, la Propuesta de Mejora y Optimización con Recursos Actuales (SIN PRESUPUESTO - Plan Realista), la Proyección con Incorporación de Recursos (CON PRESUPUESTO - Plan Proyectado), y los mecanismos de Implementación, Gestión e Indicadores de Evaluación.</w:t>
      </w: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Personal Técnico Capacitado: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dispone de un plantel técnico capacitado que pueden realizar tareas de relevamiento analítico, desarrollo y testing de aplicaciones además de conocer las normativas, circuitos administrativos, trámites y reglas operativas de la administración pública local.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Disponibilidad de medios: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Se cuenta con el suficiente mobiliario y herramientas técnicas para llevar a cabo la Misión y Funciones del Departamento.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Fragmentación Tecnológica: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Coexistencia caótica de tecnologías obsoletas y sin soporte actual (WebForms con SQL 2005) junto a tecnologías modernas (.NET, React, Angular, PHP, PostgreSQL).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Falta de una Arquitectura Base Estandarizada: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Ausencia de una arquitectura base de cumplimiento obligatorio a modo de "template" para uniformar las aplicaciones y de esta forma facilitar el desarrollo de los sistemas y la rotación de programadores entre distintos sistemas.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Multitarea Extrema y Conocimiento Concentrado: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escasa dotación frente a la alta demanda obliga al personal a atender simultáneamente emergencias de sistemas antiguos de diversas áreas y desarrollos nuevos. Esto genera saltos de contextos constantes y un alto riesgo operativo: la existencia de sistemas críticos que dependen del conocimiento exclusivo de una sola persona.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Aislamiento Operativo entre Dependencias: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distribución física del personal en dos oficinas distintas y sin un agente que coordine ambas, genera descoordinación, aislamiento en silos de información y el riesgo de desarrollar funcionalidades duplicadas por falta de comunicación.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Estimación y Seguimiento Caóticos: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Uso fragmentado de herramientas para documentar el avance de los proyectos (algunos agentes usan Redmine, otros planillas desactualizadas en Excel o registros informales), impidiendo conocer la capacidad operativa real del departamento.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Documentación Inexistente o Desigual: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Falta de manuales de relevamiento, técnicos o registros de arquitectura, profundizando la dependencia de programadores específicos.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Pruebas de Software Reactivas: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no existir el rol de QA (Quality Assurance) ni herramientas de testeo estandarizadas, la verificación de errores depende de los propios desarrolladores o de los usuarios de los aplicativos.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Resistencia al cambio: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Algunos agentes se rehúsan a aprender nuevas tecnologías y mejorar las formas de desarrollo, insistiendo en utilizar lenguajes o arquitecturas obsoletas, generando conflictos en la optimización de las bases de datos.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Adopción de Inteligencia Artificial para Agilizar la Producción: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Oportunidad de incorporar herramientas asistidas por IA (asistentes en los IDEs) para acelerar la codificación, automatizar tareas repetitivas de documentación, y aumentar la productividad general del departamento.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Adopción de Marcos Ágiles Híbridos: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Implementación de metodologías ágiles adaptadas a la realidad municipal a costo cero para mejorar y agilizar los procesos de desarrollo.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Estandarización mediante la Arquitectura Base: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Implementar una arquitectura base a modo de “template” como norma obligatoria para todos los desarrollos y de esa manera unificar las metodologías y mantener una coherencia en las tecnologías utilizadas.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Gestión Política favorable: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gestión actual tiene intención de optimizar y modernizar las funciones del Departamento.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Capacitaciones disponibles y accesibles: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Hay una gran cantidad de ofertas de capacitaciones técnicas tanto de nuevas tecnologías, metodologías ágiles e IDEs de inteligencia artificial que pueden ser aprovechadas para mejorar las tareas del área.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Falta de una óptima integración entre sistemas legacy y nuevos aplicativos: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Algunos sistemas duplican funciones debido a la imposibilidad de integrar la forma en que acceden a las bases de datos más antiguas con nuevos aplicativos, generando duplicación de funciones al no haber APIs o sistemas que unifiquen la consumición de estos datos.</w:t>
      </w: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A42106" w:rsidRDefault="00A42106" w:rsidP="00A4210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A42106" w:rsidRDefault="00A42106" w:rsidP="00A4210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A42106" w:rsidRDefault="00A42106" w:rsidP="00A4210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A42106" w:rsidRDefault="00A42106" w:rsidP="00A4210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A42106" w:rsidRDefault="00A42106" w:rsidP="00A4210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A42106" w:rsidRDefault="00A42106" w:rsidP="00A4210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  **El Jefe de Departamento como *Scrum Master Global* y Gestor Gerencial:** La Jefatura asumirá un doble rol activo: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Gestor Gerencial:* Evaluará el rendimiento global del departamento, medirá la capacidad operativa en Redmine y garantizará la alineación estratégica con las autoridades.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"Product Owner" Institucional:** El rol de *Product Owner* recaerá en los referentes o jefaturas de las Secretarías usuarias solicitantes, quienes serán responsables de priorizar su propio *Backlog* de necesidades.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Control y Recepción Técnica de Software Tercerizado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  La contratación externa de software no debe significar la pérdida de control técnico por parte del departamento. Se establecerán pautas procedimentales donde todo proveedor deba: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Alinear su desarrollo a los estándares de arquitectura del Municipio.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Entregar obligatoriamente código fuente, manuales técnicos y diccionarios de datos actualizados.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Someterse a pruebas de recepción validadas por el personal técnico del Departamento antes de la aceptación final.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Pautas para el Uso e Integración de Inteligencia Artificial para Agilizar la Producción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*   Para aprovechar el potencial de la IA en la aceleración de desarrollos sin comprometer la seguridad institucional: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guiará al equipo en el uso de herramientas de IA como asistentes de código para optimizar tiempos de desarrollo y documentación.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fijará la pauta clara de no introducir datos personales de ciudadanos ni credenciales sensibles en servicios públicos de IA.</w:t>
      </w: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Financiamiento de cursos de formación profesional en **Arquitecturas Limpias (*Clean Architecture*)**, Patrones de Diseño, Microservicios y APIs REST.</w:t>
      </w:r>
    </w:p>
    <w:p w:rsidR="00A42106" w:rsidRDefault="00A42106" w:rsidP="00A42106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 – Conocer y Ordenar (Sprints 1 a 4):**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Relevamiento de competencias y consolidación del Inventario de Sistemas.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Conformación de la Cartera Única de Proyectos (evaluación previa de reutilización antes de crear código nuevo).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Unificación del seguimiento obligatorio en Redmine y asignación de los primeros *Referentes Secundarios*.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 – Integrar y Estandarizar (Sprints 5 a 12):**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Puesta en marcha de las reuniones de coordinación transversal entre ambas oficinas.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Difusión y exigencia obligatoria de las Guías de Buenas Prácticas y del Template de Arquitectura Base.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del protocolo de Gobierno Técnico de Proveedores Externos.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III – Consolidar y Evaluar (Sprints 13+):**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Evaluación de los indicadores de riesgo operacional.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Paso a producción de aplicaciones dockerizadas en sinergia con el área de Redes.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gradual de revisiones de código cruzadas (*peer review*) en GitLab para cambios críticos.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**Proceso Permanente – Mejora Continua e Innovación:**</w:t>
      </w:r>
    </w:p>
    <w:p w:rsidR="00A42106" w:rsidRDefault="00A42106" w:rsidP="00A42106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Revisión periódica de procedimientos, actualización de capacitaciones y evaluación fundamentada de nuevas tecnologías (IA corporativa y automatización).</w:t>
      </w: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A42106" w:rsidTr="00A42106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A42106" w:rsidRPr="00A42106" w:rsidRDefault="00A42106" w:rsidP="00A42106">
            <w:pPr>
              <w:spacing w:before="120" w:after="2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A42106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A42106" w:rsidRPr="00A42106" w:rsidRDefault="00A42106" w:rsidP="00A42106">
            <w:pPr>
              <w:spacing w:before="120" w:after="2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A42106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A42106" w:rsidRPr="00A42106" w:rsidRDefault="00A42106" w:rsidP="00A42106">
            <w:pPr>
              <w:spacing w:before="120" w:after="2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A42106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A42106" w:rsidTr="00A42106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A42106" w:rsidTr="00A42106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A42106" w:rsidTr="00A42106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A42106" w:rsidTr="00A42106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A42106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A42106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A42106" w:rsidTr="00A42106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A42106" w:rsidTr="00A42106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% de Desarrollos Externos con Recepción Técnica Aprobada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A42106" w:rsidTr="00A42106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**Uso de IA**</w:t>
            </w:r>
          </w:p>
        </w:tc>
        <w:tc>
          <w:tcPr>
            <w:tcW w:w="3118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Evaluación e Integración de Herramientas de IA</w:t>
            </w:r>
          </w:p>
        </w:tc>
        <w:tc>
          <w:tcPr>
            <w:tcW w:w="3119" w:type="dxa"/>
            <w:shd w:val="clear" w:color="auto" w:fill="F5F5F5"/>
          </w:tcPr>
          <w:p w:rsidR="00A42106" w:rsidRPr="00A42106" w:rsidRDefault="00A42106" w:rsidP="00A42106">
            <w:pPr>
              <w:spacing w:before="120" w:after="20" w:line="240" w:lineRule="auto"/>
              <w:rPr>
                <w:rFonts w:ascii="Arial" w:hAnsi="Arial" w:cs="Arial"/>
                <w:color w:val="222222"/>
                <w:sz w:val="18"/>
              </w:rPr>
            </w:pPr>
            <w:r w:rsidRPr="00A42106">
              <w:rPr>
                <w:rFonts w:ascii="Arial" w:hAnsi="Arial" w:cs="Arial"/>
                <w:color w:val="222222"/>
                <w:sz w:val="18"/>
              </w:rPr>
              <w:t>Aumentar la productividad del departamento resguardando los datos.</w:t>
            </w:r>
          </w:p>
        </w:tc>
      </w:tr>
    </w:tbl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A42106" w:rsidRDefault="00A42106" w:rsidP="00A42106">
      <w:pPr>
        <w:spacing w:before="120" w:after="20" w:line="240" w:lineRule="auto"/>
        <w:rPr>
          <w:rFonts w:ascii="Arial" w:hAnsi="Arial" w:cs="Arial"/>
          <w:b/>
          <w:color w:val="111111"/>
        </w:rPr>
      </w:pPr>
      <w:r>
        <w:rPr>
          <w:rFonts w:ascii="Arial" w:hAnsi="Arial" w:cs="Arial"/>
          <w:b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A42106" w:rsidRDefault="00A42106" w:rsidP="00A4210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A42106" w:rsidRDefault="00A42106" w:rsidP="00A4210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A42106" w:rsidRDefault="00A42106" w:rsidP="00A42106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A42106" w:rsidRDefault="00A42106" w:rsidP="00A42106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A42106" w:rsidRPr="00A42106" w:rsidRDefault="00A42106" w:rsidP="00A42106">
      <w:pPr>
        <w:spacing w:before="40" w:after="12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A42106" w:rsidRPr="00A42106" w:rsidSect="00A4210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42106" w:rsidRDefault="00A42106" w:rsidP="00A42106">
      <w:pPr>
        <w:spacing w:after="0" w:line="240" w:lineRule="auto"/>
      </w:pPr>
      <w:r>
        <w:separator/>
      </w:r>
    </w:p>
  </w:endnote>
  <w:endnote w:type="continuationSeparator" w:id="0">
    <w:p w:rsidR="00A42106" w:rsidRDefault="00A42106" w:rsidP="00A421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106" w:rsidRDefault="00A42106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106" w:rsidRPr="00A42106" w:rsidRDefault="00A42106" w:rsidP="00A42106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106" w:rsidRDefault="00A42106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42106" w:rsidRDefault="00A42106" w:rsidP="00A42106">
      <w:pPr>
        <w:spacing w:after="0" w:line="240" w:lineRule="auto"/>
      </w:pPr>
      <w:r>
        <w:separator/>
      </w:r>
    </w:p>
  </w:footnote>
  <w:footnote w:type="continuationSeparator" w:id="0">
    <w:p w:rsidR="00A42106" w:rsidRDefault="00A42106" w:rsidP="00A421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106" w:rsidRDefault="00A42106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106" w:rsidRPr="00A42106" w:rsidRDefault="00A42106" w:rsidP="00A42106">
    <w:pPr>
      <w:pStyle w:val="Encabezado"/>
      <w:jc w:val="right"/>
      <w:rPr>
        <w:rFonts w:ascii="Arial" w:hAnsi="Arial" w:cs="Arial"/>
        <w:color w:val="777777"/>
        <w:sz w:val="17"/>
      </w:rPr>
    </w:pPr>
    <w:r w:rsidRPr="00A42106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42106" w:rsidRDefault="00A4210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2106"/>
    <w:rsid w:val="003C5AAE"/>
    <w:rsid w:val="00A42106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5C8B39-092D-4D40-B3D7-1B6A409FC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421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42106"/>
  </w:style>
  <w:style w:type="paragraph" w:styleId="Piedepgina">
    <w:name w:val="footer"/>
    <w:basedOn w:val="Normal"/>
    <w:link w:val="PiedepginaCar"/>
    <w:uiPriority w:val="99"/>
    <w:unhideWhenUsed/>
    <w:rsid w:val="00A421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21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3210</Words>
  <Characters>17659</Characters>
  <Application>Microsoft Office Word</Application>
  <DocSecurity>0</DocSecurity>
  <Lines>147</Lines>
  <Paragraphs>41</Paragraphs>
  <ScaleCrop>false</ScaleCrop>
  <Company/>
  <LinksUpToDate>false</LinksUpToDate>
  <CharactersWithSpaces>20828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2026-07-27T15:54:00Z</dcterms:created>
  <dcterms:modified xsi:type="dcterms:W3CDTF">2026-07-27T15:54:00Z</dcterms:modified>
</cp:coreProperties>
</file>