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183E" w:rsidRDefault="0018183E" w:rsidP="0018183E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18183E" w:rsidRDefault="0018183E" w:rsidP="0018183E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18183E" w:rsidRDefault="0018183E" w:rsidP="0018183E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18183E" w:rsidRDefault="0018183E" w:rsidP="0018183E">
      <w:pPr>
        <w:jc w:val="center"/>
        <w:rPr>
          <w:rFonts w:ascii="Arial" w:hAnsi="Arial" w:cs="Arial"/>
          <w:b/>
          <w:color w:val="555555"/>
          <w:sz w:val="24"/>
        </w:rPr>
      </w:pPr>
    </w:p>
    <w:p w:rsidR="0018183E" w:rsidRDefault="0018183E" w:rsidP="0018183E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18183E" w:rsidRDefault="0018183E" w:rsidP="0018183E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18183E" w:rsidRDefault="0018183E" w:rsidP="0018183E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18183E" w:rsidRDefault="0018183E" w:rsidP="0018183E">
      <w:pPr>
        <w:jc w:val="center"/>
        <w:rPr>
          <w:rFonts w:ascii="Arial" w:hAnsi="Arial" w:cs="Arial"/>
          <w:b/>
          <w:color w:val="333333"/>
        </w:rPr>
      </w:pPr>
    </w:p>
    <w:p w:rsidR="0018183E" w:rsidRDefault="0018183E" w:rsidP="0018183E">
      <w:pPr>
        <w:jc w:val="center"/>
        <w:rPr>
          <w:rFonts w:ascii="Arial" w:hAnsi="Arial" w:cs="Arial"/>
          <w:b/>
          <w:color w:val="333333"/>
        </w:rPr>
      </w:pPr>
    </w:p>
    <w:p w:rsidR="0018183E" w:rsidRDefault="0018183E" w:rsidP="0018183E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18183E" w:rsidRDefault="0018183E" w:rsidP="0018183E">
      <w:pPr>
        <w:jc w:val="center"/>
        <w:rPr>
          <w:rFonts w:ascii="Arial" w:hAnsi="Arial" w:cs="Arial"/>
          <w:b/>
          <w:color w:val="1B365D"/>
          <w:sz w:val="44"/>
        </w:rPr>
      </w:pPr>
    </w:p>
    <w:p w:rsidR="0018183E" w:rsidRDefault="0018183E" w:rsidP="0018183E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18183E" w:rsidRDefault="0018183E" w:rsidP="0018183E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18183E" w:rsidRDefault="0018183E" w:rsidP="0018183E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"Optimizando los procedimientos organizacionales como columna vertebral para asegurar un software escalable, seguro y sostenible"</w:t>
      </w:r>
    </w:p>
    <w:p w:rsidR="0018183E" w:rsidRDefault="0018183E" w:rsidP="0018183E">
      <w:pPr>
        <w:jc w:val="center"/>
        <w:rPr>
          <w:rFonts w:ascii="Arial" w:hAnsi="Arial" w:cs="Arial"/>
          <w:i/>
          <w:color w:val="666666"/>
          <w:sz w:val="20"/>
        </w:rPr>
      </w:pPr>
    </w:p>
    <w:p w:rsidR="0018183E" w:rsidRDefault="0018183E" w:rsidP="0018183E">
      <w:pPr>
        <w:jc w:val="center"/>
        <w:rPr>
          <w:rFonts w:ascii="Arial" w:hAnsi="Arial" w:cs="Arial"/>
          <w:i/>
          <w:color w:val="666666"/>
          <w:sz w:val="20"/>
        </w:rPr>
      </w:pPr>
    </w:p>
    <w:p w:rsidR="0018183E" w:rsidRDefault="0018183E" w:rsidP="0018183E">
      <w:pPr>
        <w:jc w:val="center"/>
        <w:rPr>
          <w:rFonts w:ascii="Arial" w:hAnsi="Arial" w:cs="Arial"/>
          <w:i/>
          <w:color w:val="666666"/>
          <w:sz w:val="20"/>
        </w:rPr>
      </w:pPr>
    </w:p>
    <w:p w:rsidR="0018183E" w:rsidRDefault="0018183E" w:rsidP="0018183E">
      <w:pPr>
        <w:jc w:val="center"/>
        <w:rPr>
          <w:rFonts w:ascii="Arial" w:hAnsi="Arial" w:cs="Arial"/>
          <w:i/>
          <w:color w:val="666666"/>
          <w:sz w:val="20"/>
        </w:rPr>
      </w:pPr>
    </w:p>
    <w:p w:rsidR="0018183E" w:rsidRDefault="0018183E" w:rsidP="0018183E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18183E" w:rsidRDefault="0018183E" w:rsidP="0018183E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18183E" w:rsidRDefault="0018183E" w:rsidP="0018183E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18183E" w:rsidRDefault="0018183E" w:rsidP="0018183E">
      <w:pPr>
        <w:rPr>
          <w:rFonts w:ascii="Arial" w:hAnsi="Arial" w:cs="Arial"/>
          <w:color w:val="000000"/>
        </w:rPr>
      </w:pPr>
    </w:p>
    <w:p w:rsidR="0018183E" w:rsidRDefault="0018183E" w:rsidP="0018183E">
      <w:pPr>
        <w:rPr>
          <w:rFonts w:ascii="Arial" w:hAnsi="Arial" w:cs="Arial"/>
          <w:color w:val="000000"/>
        </w:rPr>
      </w:pPr>
    </w:p>
    <w:p w:rsidR="0018183E" w:rsidRDefault="0018183E" w:rsidP="0018183E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18183E" w:rsidRDefault="0018183E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18183E" w:rsidP="0018183E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2.1. Pertenencia Institucional y Ubicación Orgánica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2.2. Misión del Departamento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2.3. Funciones Normativas del Departamento (según Decreto / Ordenanza Vigente)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**Relevamiento y Análisis de Necesidades:** Relevar, analizar y sistematizar los requerimientos informáticos y funcionales de las distintas dependencias de la administración municipal.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**Planificación y Desarrollo de Software:** Planificar, diseñar, codificar, implementar y mantener los sistemas de software, bases de datos y aplicaciones móviles de uso institucional.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**Modelos de Desarrollo y Documentación:** Definir y homogenizar los modelos de ciclo de vida de desarrollo de software, dictando pautas de documentación técnica, diccionarios de datos y manuales operativos.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**Gobierno Técnico de Tercerizaciones:** Participar activamente en la formulación de pliegos, seguimiento técnico, control de entregables, pruebas de aceptación y recepción de código fuente de las soluciones de software desarrolladas por proveedores externos.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7. **Interoperabilidad e Integración:** Garantizar la integración, reutilización de componentes y comunicación entre los diferentes sistemas municipales para evitar silos aislados de información.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2.4. Enfoque Metodológico del Plan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en: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**Diagnóstico Integral (FODA):** Identificación de fortalezas, deudas técnicas y riesgos operacionales reales.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**Propuesta de Mejora con Recursos Actuales (SIN PRESUPUESTO - Plan Realista):** Soluciones procedimentales, organizacionales y ágiles a costo $0.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**Proyección con Incorporación de Recursos (CON PRESUPUESTO - Plan Proyectado):** Inversión escalonada en herramientas tecnológicas, licencias corporativas e infraestructura.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**Modelo de Gestión, Hoja de Ruta en Etapas e Indicadores:** Implementación progresiva y medición de riesgo institucional.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**Conocimiento Profundo del Negocio Municipal:** El personal posee un dominio valioso de las normativas, circuitos administrativos, trámites y reglas operativas de la administración pública local.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**Documentación Inexistente o Desigual:** Falta de manuales técnicos, diccionarios de datos o registros de arquitectura, lo que profundiza la dependencia de programadores específicos.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**Uso de IA Informal e Inseguro:** La utilización de herramientas de IA se da por iniciativa personal, sin licencias institucionales y sin pautas claras de seguridad sobre la protección de datos sensibles municipales.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**Adopción de Marcos Ágiles Híbridos:** Implementación de metodologías ágiles adaptadas a la realidad municipal a costo cero.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**Estandarización mediante la Arquitectura Base:** Consolidar el *template* preexistente como norma obligatoria para todos los desarrollos.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**Cambios Rápidos en Demandas de Gestión:** Necesidad de acelerar entregas sin comprometer la seguridad ni la mantenibilidad.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**Riesgos de Ciberseguridad y Fuga de Datos:** Vulnerabilidades en código heredado o uso inadvertido de IA pública compartiendo datos institucionales.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Jefe de Departamento como *Scrum Master Global* y Gestor Gerencial:** La Jefatura asumirá un doble rol activo: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Gestor Gerencial:* Evaluará el rendimiento global del departamento, medirá la capacidad operativa en Redmine y garantizará la alineación estratégica con las autoridades.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"Product Owner" Institucional:** El rol de *Product Owner* recaerá en los referentes o jefaturas de las Secretarías usuarias solicitantes, quienes serán responsables de priorizar su propio *Backlog* de necesidades.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Gobierno Técnico de Proveedores Externos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contratación externa de software no significará la pérdida de control institucional. Se establecerán cláusulas procedimentales donde todo proveedor deba: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Alinear su desarrollo a los estándares de arquitectura y seguridad del Municipio.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Entregar obligatoriamente código fuente, manuales técnicos y diccionarios de datos actualizados.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Someterse a pruebas de recepción validadas por el personal técnico del Departamento antes de la aceptación final.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Protocolo Institucional de Seguridad y Privacidad para Uso de IA Gratuita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Ante el uso informal de herramientas gratuitas de IA por parte del personal, se fijará una directiva clara de **Seguridad y Privacidad**: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Queda estrictamente prohibido introducir en herramientas de IA públicas datos personales de ciudadanos, credenciales de acceso, claves de bases de datos o código fuente institucional sensible.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IA se utilizará únicamente como asistente para generación de estructuras auxiliares, aprendizaje o documentación general, quedando siempre sujeta a la revisión profesional humana.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Financiamiento de cursos de formación profesional en **Arquitecturas Limpias (*Clean Architecture*)**, Patrones de Diseño, Microservicios y APIs REST.</w:t>
      </w:r>
    </w:p>
    <w:p w:rsidR="0018183E" w:rsidRDefault="0018183E" w:rsidP="0018183E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 – Conocer y Ordenar (Sprints 1 a 4):**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Relevamiento de competencias y consolidación del Inventario de Sistemas.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Conformación de la Cartera Única de Proyectos (evaluación previa de reutilización antes de crear código nuevo).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Unificación del seguimiento obligatorio en Redmine y asignación de los primeros *Referentes Secundarios*.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 – Integrar y Estandarizar (Sprints 5 a 12):**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Puesta en marcha de las reuniones de coordinación transversal entre ambas oficinas.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Difusión y exigencia obligatoria de las Guías de Buenas Prácticas y del Template de Arquitectura Base.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del protocolo de Gobierno Técnico de Proveedores Externos.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III – Consolidar y Evaluar (Sprints 13+):**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Evaluación de los indicadores de riesgo operacional.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Paso a producción de aplicaciones dockerizadas en sinergia con el área de Redes.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gradual de revisiones de código cruzadas (*peer review*) en GitLab para cambios críticos.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**Proceso Permanente – Mejora Continua e Innovación:**</w:t>
      </w:r>
    </w:p>
    <w:p w:rsidR="0018183E" w:rsidRDefault="0018183E" w:rsidP="0018183E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Revisión periódica de procedimientos, actualización de capacitaciones y evaluación fundamentada de nuevas tecnologías (IA corporativa y automatización).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18183E" w:rsidRPr="0018183E" w:rsidRDefault="0018183E" w:rsidP="0018183E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18183E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18183E" w:rsidRPr="0018183E" w:rsidRDefault="0018183E" w:rsidP="0018183E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18183E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18183E" w:rsidRPr="0018183E" w:rsidRDefault="0018183E" w:rsidP="0018183E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18183E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18183E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18183E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% de Desarrollos Externos con Gobierno Técnico Aceptado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18183E" w:rsidTr="0018183E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**Gobernanza de IA**</w:t>
            </w:r>
          </w:p>
        </w:tc>
        <w:tc>
          <w:tcPr>
            <w:tcW w:w="3118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Cumplimiento del Protocolo de Seguridad en IA</w:t>
            </w:r>
          </w:p>
        </w:tc>
        <w:tc>
          <w:tcPr>
            <w:tcW w:w="3119" w:type="dxa"/>
            <w:shd w:val="clear" w:color="auto" w:fill="F5F5F5"/>
          </w:tcPr>
          <w:p w:rsidR="0018183E" w:rsidRPr="0018183E" w:rsidRDefault="0018183E" w:rsidP="0018183E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18183E">
              <w:rPr>
                <w:rFonts w:ascii="Arial" w:hAnsi="Arial" w:cs="Arial"/>
                <w:color w:val="222222"/>
                <w:sz w:val="18"/>
              </w:rPr>
              <w:t>Proteger el 100% de la información sensible municipal.</w:t>
            </w:r>
          </w:p>
        </w:tc>
      </w:tr>
    </w:tbl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18183E" w:rsidRDefault="0018183E" w:rsidP="0018183E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18183E" w:rsidRDefault="0018183E" w:rsidP="0018183E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18183E" w:rsidRPr="0018183E" w:rsidRDefault="0018183E" w:rsidP="0018183E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18183E" w:rsidRPr="0018183E" w:rsidSect="0018183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183E" w:rsidRDefault="0018183E" w:rsidP="0018183E">
      <w:pPr>
        <w:spacing w:after="0" w:line="240" w:lineRule="auto"/>
      </w:pPr>
      <w:r>
        <w:separator/>
      </w:r>
    </w:p>
  </w:endnote>
  <w:endnote w:type="continuationSeparator" w:id="0">
    <w:p w:rsidR="0018183E" w:rsidRDefault="0018183E" w:rsidP="00181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Default="0018183E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Pr="0018183E" w:rsidRDefault="0018183E" w:rsidP="0018183E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Default="0018183E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183E" w:rsidRDefault="0018183E" w:rsidP="0018183E">
      <w:pPr>
        <w:spacing w:after="0" w:line="240" w:lineRule="auto"/>
      </w:pPr>
      <w:r>
        <w:separator/>
      </w:r>
    </w:p>
  </w:footnote>
  <w:footnote w:type="continuationSeparator" w:id="0">
    <w:p w:rsidR="0018183E" w:rsidRDefault="0018183E" w:rsidP="00181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Default="0018183E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Pr="0018183E" w:rsidRDefault="0018183E" w:rsidP="0018183E">
    <w:pPr>
      <w:pStyle w:val="Encabezado"/>
      <w:jc w:val="right"/>
      <w:rPr>
        <w:rFonts w:ascii="Arial" w:hAnsi="Arial" w:cs="Arial"/>
        <w:color w:val="777777"/>
        <w:sz w:val="17"/>
      </w:rPr>
    </w:pPr>
    <w:r w:rsidRPr="0018183E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83E" w:rsidRDefault="0018183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183E"/>
    <w:rsid w:val="0018183E"/>
    <w:rsid w:val="003C5AAE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4A4E8D-5C96-48E5-9415-C38C6275B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18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183E"/>
  </w:style>
  <w:style w:type="paragraph" w:styleId="Piedepgina">
    <w:name w:val="footer"/>
    <w:basedOn w:val="Normal"/>
    <w:link w:val="PiedepginaCar"/>
    <w:uiPriority w:val="99"/>
    <w:unhideWhenUsed/>
    <w:rsid w:val="001818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1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3194</Words>
  <Characters>17571</Characters>
  <Application>Microsoft Office Word</Application>
  <DocSecurity>0</DocSecurity>
  <Lines>146</Lines>
  <Paragraphs>41</Paragraphs>
  <ScaleCrop>false</ScaleCrop>
  <Company/>
  <LinksUpToDate>false</LinksUpToDate>
  <CharactersWithSpaces>20724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2026-07-27T13:56:00Z</dcterms:created>
  <dcterms:modified xsi:type="dcterms:W3CDTF">2026-07-27T13:56:00Z</dcterms:modified>
</cp:coreProperties>
</file>