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right="11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</w:t>
      </w:r>
      <w:r w:rsidDel="00000000" w:rsidR="00000000" w:rsidRPr="00000000">
        <w:rPr>
          <w:sz w:val="24"/>
          <w:szCs w:val="24"/>
          <w:rtl w:val="0"/>
        </w:rPr>
        <w:t xml:space="preserve"> Se sabe que un montacargas tarda cinco minutos para llevar la carga desde el muelle hasta un buque de carga, incluyendo este tiempo el ciclo completo (carga, ascenso, descarga, y descenso). Se conoce la cantidad de carga que arriba al muelle y es proporcionada por una fdp expresada en toneladas por hora. El dueño del muelle cobra $1,50 por hora y por cada tonelada que tenga estacionada en el muelle. Además tener el montacargas detenido acarrea un costo de $2 por cada viaje que pudiera haber efectuado y estuvo detenido. Se desea obtener la capacidad en toneladas TN del montacargas para minimizar los costos de muelle y de tener el montacargas detenido.</w:t>
      </w:r>
    </w:p>
    <w:p w:rsidR="00000000" w:rsidDel="00000000" w:rsidP="00000000" w:rsidRDefault="00000000" w:rsidRPr="00000000" w14:paraId="00000002">
      <w:pPr>
        <w:spacing w:line="240" w:lineRule="auto"/>
        <w:ind w:right="1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ind w:right="1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rtl w:val="0"/>
        </w:rPr>
        <w:t xml:space="preserve">Metodología :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Δt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  <w:t xml:space="preserve"> 1 hora</w:t>
      </w:r>
      <w:r w:rsidDel="00000000" w:rsidR="00000000" w:rsidRPr="00000000">
        <w:rPr>
          <w:sz w:val="20"/>
          <w:szCs w:val="20"/>
          <w:rtl w:val="0"/>
        </w:rPr>
        <w:t xml:space="preserve">     EaE  </w:t>
      </w: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150.0" w:type="dxa"/>
        <w:tblLayout w:type="fixed"/>
        <w:tblLook w:val="0000"/>
      </w:tblPr>
      <w:tblGrid>
        <w:gridCol w:w="1035"/>
        <w:gridCol w:w="1110"/>
        <w:gridCol w:w="180"/>
        <w:gridCol w:w="105"/>
        <w:gridCol w:w="900"/>
        <w:gridCol w:w="180"/>
        <w:gridCol w:w="105"/>
        <w:gridCol w:w="1545"/>
        <w:gridCol w:w="1665"/>
        <w:gridCol w:w="3345"/>
        <w:tblGridChange w:id="0">
          <w:tblGrid>
            <w:gridCol w:w="1035"/>
            <w:gridCol w:w="1110"/>
            <w:gridCol w:w="180"/>
            <w:gridCol w:w="105"/>
            <w:gridCol w:w="900"/>
            <w:gridCol w:w="180"/>
            <w:gridCol w:w="105"/>
            <w:gridCol w:w="1545"/>
            <w:gridCol w:w="1665"/>
            <w:gridCol w:w="3345"/>
          </w:tblGrid>
        </w:tblGridChange>
      </w:tblGrid>
      <w:tr>
        <w:trPr>
          <w:cantSplit w:val="0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Indique tipo de Variables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Nombre 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Describa las variables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Datos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ind w:left="-7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 por Hora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9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Control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A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TN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Capacidad en Toneladas del Montacargas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Resultado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PCH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2B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Promedio Costo por Hora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D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E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sz w:val="18"/>
                <w:szCs w:val="18"/>
                <w:highlight w:val="yellow"/>
                <w:rtl w:val="0"/>
              </w:rPr>
              <w:t xml:space="preserve">Endógenas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F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highlight w:val="yellow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Exógenas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Fonts w:ascii="Wingdings" w:cs="Wingdings" w:eastAsia="Wingdings" w:hAnsi="Wingdings"/>
                <w:sz w:val="18"/>
                <w:szCs w:val="18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5">
            <w:pPr>
              <w:tabs>
                <w:tab w:val="left" w:pos="851"/>
                <w:tab w:val="left" w:pos="1985"/>
                <w:tab w:val="left" w:pos="2127"/>
                <w:tab w:val="left" w:pos="2977"/>
              </w:tabs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 Almacenada</w:t>
            </w:r>
          </w:p>
        </w:tc>
      </w:tr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Clasifique eventos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Propios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comprometidos en ΔT Anteriores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Eventos que se comprometen para ΔT futuros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Llega Carga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Sale Carga por Montacargas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----</w:t>
            </w:r>
          </w:p>
        </w:tc>
      </w:tr>
    </w:tbl>
    <w:p w:rsidR="00000000" w:rsidDel="00000000" w:rsidP="00000000" w:rsidRDefault="00000000" w:rsidRPr="00000000" w14:paraId="0000005F">
      <w:pPr>
        <w:spacing w:before="120" w:line="240" w:lineRule="auto"/>
        <w:jc w:val="both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T.E.F.= ----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Wingding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