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VR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Velocidad Reparación</w:t>
            </w:r>
          </w:p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Velocidad Descomposición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PTO[i]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Tiempo Ocioso[Técnico]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TC[i]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Comprometido[Técnico]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Descomposición Máquina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Descomposición Máquina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highlight w:val="green"/>
          <w:rtl w:val="0"/>
        </w:rPr>
        <w:t xml:space="preserve">AP CORREGIDO </w:t>
      </w:r>
      <w:r w:rsidDel="00000000" w:rsidR="00000000" w:rsidRPr="00000000">
        <w:rPr>
          <w:rtl w:val="0"/>
        </w:rPr>
        <w:t xml:space="preserve">(Raro que no hayan dicho nada de T en la variable de control, ya que está marcado como mal en el AP que es incorrecto)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