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9A7020"/>
          <w:sz w:val="40"/>
        </w:rPr>
        <w:t>POW S.A. · Crecimiento en pesos</w:t>
      </w:r>
    </w:p>
    <w:p>
      <w:pPr>
        <w:jc w:val="center"/>
      </w:pPr>
      <w:r>
        <w:rPr>
          <w:rFonts w:ascii="Calibri" w:hAnsi="Calibri"/>
          <w:i/>
          <w:color w:val="6B7280"/>
          <w:sz w:val="24"/>
        </w:rPr>
        <w:t>Ingresos vs egresos vs sueldos · Análisis ARS</w:t>
      </w:r>
    </w:p>
    <w:p>
      <w:pPr>
        <w:jc w:val="center"/>
      </w:pPr>
      <w:r>
        <w:rPr>
          <w:rFonts w:ascii="Calibri" w:hAnsi="Calibri"/>
          <w:color w:val="6B7280"/>
          <w:sz w:val="18"/>
        </w:rPr>
        <w:t>Fuente: REGISTRO GASTOS E INGRESOS - POW S.A - [ARCHIVO POW] - 5.xlsx · hoja ESTADO DE RESULTADOS + EGRESOS | POW (Total - Sueldos) · Generado 16/06/2026</w:t>
      </w:r>
    </w:p>
    <w:p>
      <w:pPr>
        <w:spacing w:before="80" w:after="160"/>
        <w:ind w:left="227"/>
        <w:pBdr>
          <w:left w:val="single" w:sz="18" w:color="9A7020" w:space="8"/>
        </w:pBdr>
      </w:pPr>
      <w:r>
        <w:rPr>
          <w:rFonts w:ascii="Calibri" w:hAnsi="Calibri"/>
          <w:i/>
          <w:color w:val="1F2937"/>
          <w:sz w:val="22"/>
        </w:rPr>
        <w:t>El CEO Scorecard muestra las cifras en USD. En pesos las tasas de crecimiento son más altas por inflación y devaluación. Los egresos y sueldos crecen más rápido que los ingresos.</w:t>
      </w:r>
    </w:p>
    <w:p>
      <w:pPr>
        <w:spacing w:before="280" w:after="120"/>
      </w:pPr>
      <w:r>
        <w:rPr>
          <w:rFonts w:ascii="Calibri" w:hAnsi="Calibri"/>
          <w:b/>
          <w:color w:val="9A7020"/>
          <w:sz w:val="36"/>
        </w:rPr>
        <w:t>1 · Resumen ejecutivo 2025 → 2026 PROY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2025 (ARS)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2026 PROY (ARS)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Crecimiento YoY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Ingresos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$2.73B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$3.48B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59669"/>
                <w:sz w:val="20"/>
              </w:rPr>
              <w:t>+27.4%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Egresos totales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$2.31B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$3.30B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DC2626"/>
                <w:sz w:val="20"/>
              </w:rPr>
              <w:t>+43.2%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Sueldos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$1.61B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$2.30B</w:t>
            </w:r>
          </w:p>
        </w:tc>
        <w:tc>
          <w:tcPr>
            <w:tcW w:type="dxa" w:w="249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DC2626"/>
                <w:sz w:val="20"/>
              </w:rPr>
              <w:t>+42.6%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Brecha egresos vs ingresos en ARS: +15.8 puntos porcentuales (+43.2% egresos vs +27.4% ingresos).</w:t>
      </w:r>
    </w:p>
    <w:p>
      <w:pPr>
        <w:spacing w:before="280" w:after="120"/>
      </w:pPr>
      <w:r>
        <w:rPr>
          <w:rFonts w:ascii="Calibri" w:hAnsi="Calibri"/>
          <w:b/>
          <w:color w:val="9A7020"/>
          <w:sz w:val="36"/>
        </w:rPr>
        <w:t>2 · Comparación USD vs ARS (2026 PROY)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YoY USD (Scorecard)</w:t>
            </w:r>
          </w:p>
        </w:tc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YoY ARS (nominal)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Ingresos</w:t>
            </w:r>
          </w:p>
        </w:tc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+15,8%</w:t>
            </w:r>
          </w:p>
        </w:tc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+9.2%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Egresos</w:t>
            </w:r>
          </w:p>
        </w:tc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+23,3%</w:t>
            </w:r>
          </w:p>
        </w:tc>
        <w:tc>
          <w:tcPr>
            <w:tcW w:type="dxa" w:w="332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+22.6%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9A7020"/>
          <w:sz w:val="36"/>
        </w:rPr>
        <w:t>3 · YTD real Ene–Jun 2026 vs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2025 YTD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2026 YTD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YoY ARS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YoY USD</w:t>
            </w:r>
          </w:p>
        </w:tc>
      </w:tr>
      <w:tr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Ingresos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$1.28B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$1.69B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59669"/>
                <w:sz w:val="20"/>
              </w:rPr>
              <w:t>+32.1%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+10.3%</w:t>
            </w:r>
          </w:p>
        </w:tc>
      </w:tr>
      <w:tr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Egresos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$1.03B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$1.54B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DC2626"/>
                <w:sz w:val="20"/>
              </w:rPr>
              <w:t>+49.3%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+24.4%</w:t>
            </w:r>
          </w:p>
        </w:tc>
      </w:tr>
      <w:tr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Sueldos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$728M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$1.06B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DC2626"/>
                <w:sz w:val="20"/>
              </w:rPr>
              <w:t>+45.9%</w:t>
            </w:r>
          </w:p>
        </w:tc>
        <w:tc>
          <w:tcPr>
            <w:tcW w:type="dxa" w:w="19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9A7020"/>
          <w:sz w:val="36"/>
        </w:rPr>
        <w:t>4 · Histórico YoY en ARS vs USD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Año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Ing. ARS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Egr. ARS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Sueldos ARS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Ing. USD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Egr. USD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2021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+47.5%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+131.6%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+175.7%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+3.3%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+60.3%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2022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+39.6%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+82.2%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+130.8%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-9.5%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+21.4%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2023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+189.3%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+166.5%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+143.0%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+24.3%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+11.3%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2024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+176.3%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+161.2%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+215.6%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+41.0%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+36.8%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2025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+41.1%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+43.8%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+43.8%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+24.8%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+26.5%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2026 PROY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+27.4%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+43.2%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+42.6%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+9.2%</w:t>
            </w:r>
          </w:p>
        </w:tc>
        <w:tc>
          <w:tcPr>
            <w:tcW w:type="dxa" w:w="166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+22.6%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9A7020"/>
          <w:sz w:val="36"/>
        </w:rPr>
        <w:t>5 · Sueldos como % de egresos totales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Año</w:t>
            </w:r>
          </w:p>
        </w:tc>
        <w:tc>
          <w:tcPr>
            <w:tcW w:type="dxa" w:w="498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1F293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Sueldos / Egresos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2024</w:t>
            </w:r>
          </w:p>
        </w:tc>
        <w:tc>
          <w:tcPr>
            <w:tcW w:type="dxa" w:w="498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69.9%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2025</w:t>
            </w:r>
          </w:p>
        </w:tc>
        <w:tc>
          <w:tcPr>
            <w:tcW w:type="dxa" w:w="498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69.8%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2026 PROY</w:t>
            </w:r>
          </w:p>
        </w:tc>
        <w:tc>
          <w:tcPr>
            <w:tcW w:type="dxa" w:w="4986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69.5%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6B7280"/>
          <w:sz w:val="20"/>
        </w:rPr>
        <w:t>Los sueldos representan ~70% de todos los egresos. Por eso la curva de sueldos en ARS es casi paralela a egresos totales.</w:t>
      </w:r>
    </w:p>
    <w:p>
      <w:pPr>
        <w:spacing w:before="280" w:after="120"/>
      </w:pPr>
      <w:r>
        <w:rPr>
          <w:rFonts w:ascii="Calibri" w:hAnsi="Calibri"/>
          <w:b/>
          <w:color w:val="9A7020"/>
          <w:sz w:val="36"/>
        </w:rPr>
        <w:t>6 · Implicaciones</w:t>
      </w:r>
    </w:p>
    <w:p>
      <w:pPr>
        <w:pStyle w:val="ListBullet"/>
        <w:spacing w:after="40"/>
        <w:ind w:left="340"/>
      </w:pPr>
      <w:r/>
      <w:r>
        <w:rPr>
          <w:rFonts w:ascii="Calibri" w:hAnsi="Calibri"/>
          <w:sz w:val="22"/>
        </w:rPr>
        <w:t>En pesos el negocio factura más (+27–37% según ventana), pero gasta mucho más rápido (+43–51%).</w:t>
      </w:r>
    </w:p>
    <w:p>
      <w:pPr>
        <w:pStyle w:val="ListBullet"/>
        <w:spacing w:after="40"/>
        <w:ind w:left="340"/>
      </w:pPr>
      <w:r/>
      <w:r>
        <w:rPr>
          <w:rFonts w:ascii="Calibri" w:hAnsi="Calibri"/>
          <w:sz w:val="22"/>
        </w:rPr>
        <w:t>Sueldos-only es un proxy válido del 70% de egresos — útil para separar nómina del resto.</w:t>
      </w:r>
    </w:p>
    <w:p>
      <w:pPr>
        <w:pStyle w:val="ListBullet"/>
        <w:spacing w:after="40"/>
        <w:ind w:left="340"/>
      </w:pPr>
      <w:r/>
      <w:r>
        <w:rPr>
          <w:rFonts w:ascii="Calibri" w:hAnsi="Calibri"/>
          <w:sz w:val="22"/>
        </w:rPr>
        <w:t>La compresión de margen en USD no es solo tipo de cambio: en ARS nominal también hay desbalance estructural.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