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ES_tradnl"/>
        </w:rPr>
        <w:t>Semiótica I - Comisión 53 2022 - Segundo parcial domiciliario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Fecha límite de entrega: Miércoles 2 de NOV/2022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Enviar al mail:  angeles.semiótica@gmail.com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 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A tener en cuenta:</w:t>
      </w:r>
    </w:p>
    <w:p w:rsidR="00852F1C" w:rsidRPr="00852F1C" w:rsidRDefault="00852F1C" w:rsidP="00852F1C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Responder en forma concisa a partir de los textos de la bibliografía y los teóricos correspondientes</w:t>
      </w:r>
    </w:p>
    <w:p w:rsidR="00852F1C" w:rsidRPr="00852F1C" w:rsidRDefault="00852F1C" w:rsidP="00852F1C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Diferenciar “citas textuales” de los autores de vuestros comentarios o explicaciones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Consigna: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Responder solo 1 pregunta por tema: 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_tradnl"/>
        </w:rPr>
        <w:t xml:space="preserve">0-  </w:t>
      </w: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s-ES_tradnl"/>
        </w:rPr>
        <w:t>Tema 0: Género (1 punto)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0.0 Explicar 2 proposiciones que permitan diferenciar género de estilo vinculadas al rol de los metadiscursos y la delimitación sistémica de los géneros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_tradnl"/>
        </w:rPr>
        <w:t xml:space="preserve">1 - Tema 1: Descripción y Narración </w:t>
      </w: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s-ES_tradnl"/>
        </w:rPr>
        <w:t> (1 punto)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1.1 Elaborar un cuadro comparativo de las diferencias que </w:t>
      </w:r>
      <w:proofErr w:type="spellStart"/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Hamon</w:t>
      </w:r>
      <w:proofErr w:type="spellEnd"/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 plantea entre descripción y narración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1.2 Explicar la diferencia entre operaciones de jerarquía y equivalencia ejemplificando con casos que plantea el autor</w:t>
      </w:r>
    </w:p>
    <w:p w:rsidR="00852F1C" w:rsidRPr="00852F1C" w:rsidRDefault="00852F1C" w:rsidP="00852F1C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_tradnl"/>
        </w:rPr>
        <w:t xml:space="preserve">2- Tema 2: Relato </w:t>
      </w: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s-ES_tradnl"/>
        </w:rPr>
        <w:t> (1 punto)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2.1 Desarrollar los 2 principios del relato que propone Todorov.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2.2 Describir cuales son las características de los 3 tipos de transformación.</w:t>
      </w:r>
    </w:p>
    <w:p w:rsidR="00852F1C" w:rsidRPr="00852F1C" w:rsidRDefault="00852F1C" w:rsidP="00852F1C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_tradnl"/>
        </w:rPr>
        <w:t xml:space="preserve">3- Tema 3: Argumentación </w:t>
      </w: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s-ES_tradnl"/>
        </w:rPr>
        <w:t> (1 punto)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3.1 En qué consisten y cuáles son las diferencias entre el momento de la </w:t>
      </w:r>
      <w:proofErr w:type="spellStart"/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inventio</w:t>
      </w:r>
      <w:proofErr w:type="spellEnd"/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 y de la dispositivo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3.2 Desarrollar las vías argumentativa del Convencer y del Conmover</w:t>
      </w:r>
    </w:p>
    <w:p w:rsidR="00852F1C" w:rsidRPr="00852F1C" w:rsidRDefault="00852F1C" w:rsidP="00852F1C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_tradnl"/>
        </w:rPr>
        <w:t xml:space="preserve">4- Tema 4: Operaciones de Figuración </w:t>
      </w: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s-ES_tradnl"/>
        </w:rPr>
        <w:t> (1 punto)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4.1 Explicar cuáles son los aspectos generales de los procesos de figuración que se abordan en cada una de las siguientes dimensiones:</w:t>
      </w:r>
    </w:p>
    <w:p w:rsidR="00852F1C" w:rsidRPr="00852F1C" w:rsidRDefault="00852F1C" w:rsidP="00852F1C">
      <w:pPr>
        <w:numPr>
          <w:ilvl w:val="0"/>
          <w:numId w:val="2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Construcción, Referenciación e Inserción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4.2 Explicar y ejemplificar con casos que plantean los autores,  la diferencia entre los siguientes pares de operaciones: </w:t>
      </w:r>
    </w:p>
    <w:p w:rsidR="00852F1C" w:rsidRPr="00852F1C" w:rsidRDefault="00852F1C" w:rsidP="00852F1C">
      <w:pPr>
        <w:numPr>
          <w:ilvl w:val="0"/>
          <w:numId w:val="3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Sustracción y sustitución</w:t>
      </w:r>
    </w:p>
    <w:p w:rsidR="00852F1C" w:rsidRPr="00852F1C" w:rsidRDefault="00852F1C" w:rsidP="00852F1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Referenciación por comparación y </w:t>
      </w:r>
      <w:proofErr w:type="spellStart"/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contigüedad</w:t>
      </w:r>
      <w:proofErr w:type="spellEnd"/>
    </w:p>
    <w:p w:rsidR="00852F1C" w:rsidRPr="00852F1C" w:rsidRDefault="00852F1C" w:rsidP="00852F1C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Inserción sintagmática y paradigmática</w:t>
      </w:r>
    </w:p>
    <w:p w:rsidR="00852F1C" w:rsidRPr="00852F1C" w:rsidRDefault="00852F1C" w:rsidP="00852F1C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_tradnl"/>
        </w:rPr>
        <w:lastRenderedPageBreak/>
        <w:t xml:space="preserve">5- Tema 5: Verosímil </w:t>
      </w: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s-ES_tradnl"/>
        </w:rPr>
        <w:t> (1 punto)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5.1 Explicar la siguiente afirmación: “El verosímil ocupa el lugar de la verdad sin serlo”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5.2 ¿Por qué la censura del verosímil es más efectiva que la censura política y económica?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s-ES_tradnl"/>
        </w:rPr>
        <w:t>Tema 6: Enunciación  (2 puntos)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6.1 Explicar en qué radica la diferencia entre:</w:t>
      </w: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br/>
      </w: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ab/>
        <w:t>-  contrato de lectura y las lecturas que realizan los receptores  (Verón)</w:t>
      </w:r>
    </w:p>
    <w:p w:rsidR="00852F1C" w:rsidRPr="00852F1C" w:rsidRDefault="00852F1C" w:rsidP="00852F1C">
      <w:pPr>
        <w:ind w:left="2160"/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-</w:t>
      </w:r>
      <w:r w:rsidRPr="00852F1C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es-ES_tradnl"/>
        </w:rPr>
        <w:t xml:space="preserve">las dos prácticas de intercambio discursivo mediático: la posición </w:t>
      </w:r>
      <w:proofErr w:type="spellStart"/>
      <w:r w:rsidRPr="00852F1C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es-ES_tradnl"/>
        </w:rPr>
        <w:t>espectatorial</w:t>
      </w:r>
      <w:proofErr w:type="spellEnd"/>
      <w:r w:rsidRPr="00852F1C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es-ES_tradnl"/>
        </w:rPr>
        <w:t xml:space="preserve"> y la posición interactiva. (Fernández)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6.2 Describir en que se diferencian los </w:t>
      </w:r>
      <w:proofErr w:type="spellStart"/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vinculos</w:t>
      </w:r>
      <w:proofErr w:type="spellEnd"/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 que se proponen desde la modalidad de “enunciador </w:t>
      </w:r>
      <w:proofErr w:type="spellStart"/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pedagógico</w:t>
      </w:r>
      <w:proofErr w:type="spellEnd"/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” y enunciador “</w:t>
      </w:r>
      <w:proofErr w:type="spellStart"/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complice</w:t>
      </w:r>
      <w:proofErr w:type="spellEnd"/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”</w:t>
      </w:r>
    </w:p>
    <w:p w:rsidR="00852F1C" w:rsidRPr="00852F1C" w:rsidRDefault="00852F1C" w:rsidP="00852F1C">
      <w:pPr>
        <w:spacing w:after="240"/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ES_tradnl"/>
        </w:rPr>
        <w:t xml:space="preserve">Tema 7: Ejemplo </w:t>
      </w:r>
      <w:r w:rsidRPr="00852F1C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s-ES_tradnl"/>
        </w:rPr>
        <w:t> (2 puntos)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7. Describir operaciones retóricas, temáticas y enunciativas de la siguiente publicación:</w:t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hyperlink r:id="rId5" w:history="1">
        <w:r w:rsidRPr="00852F1C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s-ES_tradnl"/>
          </w:rPr>
          <w:t>https://twitter.com/aerolineas_ar/status/1371464096097267719?lang=eu</w:t>
        </w:r>
      </w:hyperlink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  <w:r w:rsidRPr="00852F1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ES_tradnl"/>
        </w:rPr>
        <w:lastRenderedPageBreak/>
        <w:fldChar w:fldCharType="begin"/>
      </w:r>
      <w:r w:rsidRPr="00852F1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ES_tradnl"/>
        </w:rPr>
        <w:instrText xml:space="preserve"> INCLUDEPICTURE "https://lh5.googleusercontent.com/xSN8G2e7RuUWzjP7JYPIKPI9uh2Gf-Rderk7Qj8rXrTTWAs8tW9SoMgM7AcWMBjWqk-MkueVndcJCTgATH7v2I3OBthmEEd3dT7iejxBWI2qY1OviYrgqnLxqW6fAyfJYg9yJVDddtju8Ha1cYhSM82LTwaR7rcuKO-gFna23vPfeogwhZN5aeIc6QIELQ" \* MERGEFORMATINET </w:instrText>
      </w:r>
      <w:r w:rsidRPr="00852F1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ES_tradnl"/>
        </w:rPr>
        <w:fldChar w:fldCharType="separate"/>
      </w:r>
      <w:r w:rsidRPr="00852F1C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s-ES_tradnl"/>
        </w:rPr>
        <w:drawing>
          <wp:inline distT="0" distB="0" distL="0" distR="0">
            <wp:extent cx="5396230" cy="7564755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56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F1C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s-ES_tradnl"/>
        </w:rPr>
        <w:fldChar w:fldCharType="end"/>
      </w:r>
    </w:p>
    <w:p w:rsidR="00852F1C" w:rsidRPr="00852F1C" w:rsidRDefault="00852F1C" w:rsidP="00852F1C">
      <w:pPr>
        <w:rPr>
          <w:rFonts w:ascii="Times New Roman" w:eastAsia="Times New Roman" w:hAnsi="Times New Roman" w:cs="Times New Roman"/>
          <w:lang w:eastAsia="es-ES_tradnl"/>
        </w:rPr>
      </w:pPr>
    </w:p>
    <w:p w:rsidR="00307A15" w:rsidRDefault="00307A15"/>
    <w:p w:rsidR="00852F1C" w:rsidRDefault="00852F1C"/>
    <w:p w:rsidR="00852F1C" w:rsidRDefault="00852F1C"/>
    <w:p w:rsidR="00852F1C" w:rsidRDefault="00852F1C"/>
    <w:p w:rsidR="00852F1C" w:rsidRDefault="00852F1C"/>
    <w:p w:rsidR="00242298" w:rsidRDefault="00242298"/>
    <w:p w:rsidR="00E05BC6" w:rsidRDefault="00B156CD" w:rsidP="00E05BC6">
      <w:r>
        <w:lastRenderedPageBreak/>
        <w:t xml:space="preserve">0.0 </w:t>
      </w:r>
      <w:r w:rsidR="00E05BC6">
        <w:t xml:space="preserve">Dos proposiciones que nos permiten diferenciar genero de estilo seria por ejemplo el tango como genero y </w:t>
      </w:r>
      <w:r>
        <w:t xml:space="preserve">el electro-tango como un estilo dentro del tango o hacer referencia al </w:t>
      </w:r>
      <w:proofErr w:type="spellStart"/>
      <w:r>
        <w:t>reality</w:t>
      </w:r>
      <w:proofErr w:type="spellEnd"/>
      <w:r>
        <w:t xml:space="preserve"> como genero televisivo y dentro de </w:t>
      </w:r>
      <w:proofErr w:type="spellStart"/>
      <w:r>
        <w:t>el</w:t>
      </w:r>
      <w:proofErr w:type="spellEnd"/>
      <w:r>
        <w:t xml:space="preserve"> los </w:t>
      </w:r>
      <w:proofErr w:type="spellStart"/>
      <w:r>
        <w:t>realities</w:t>
      </w:r>
      <w:proofErr w:type="spellEnd"/>
      <w:r>
        <w:t xml:space="preserve"> culinarios.</w:t>
      </w:r>
    </w:p>
    <w:p w:rsidR="00E05BC6" w:rsidRDefault="00E05BC6"/>
    <w:p w:rsidR="00E05BC6" w:rsidRDefault="00E05BC6"/>
    <w:p w:rsidR="0068377D" w:rsidRPr="00513EA3" w:rsidRDefault="0068377D" w:rsidP="0068377D">
      <w:r>
        <w:t xml:space="preserve">1.2 La descripción le pide al lector que pueda ejecutar la operación de jerarquía de aquello que </w:t>
      </w:r>
      <w:proofErr w:type="spellStart"/>
      <w:r>
        <w:t>esta</w:t>
      </w:r>
      <w:proofErr w:type="spellEnd"/>
      <w:r>
        <w:t xml:space="preserve"> leyendo. Un sistema descriptivo le solicita constantemente al lector que realice dicha facultad, es decir que en la descripción de una casa por ejemplo siendo casa el termino </w:t>
      </w:r>
      <w:proofErr w:type="spellStart"/>
      <w:r>
        <w:t>primatario</w:t>
      </w:r>
      <w:proofErr w:type="spellEnd"/>
      <w:r>
        <w:t xml:space="preserve"> pueda comprender que ciertos elementos como el techo, piso o la chimenea forman parte del concepto de casa, o que al describir un jardín, los términos árbol, pasto y flores son también son constitutivos. La operación de equivalencia hace mención en este caso entre un </w:t>
      </w:r>
      <w:proofErr w:type="spellStart"/>
      <w:r>
        <w:t>termino</w:t>
      </w:r>
      <w:proofErr w:type="spellEnd"/>
      <w:r>
        <w:t xml:space="preserve"> </w:t>
      </w:r>
      <w:proofErr w:type="spellStart"/>
      <w:r>
        <w:t>sincretico</w:t>
      </w:r>
      <w:proofErr w:type="spellEnd"/>
      <w:r>
        <w:t xml:space="preserve"> global y una serie de términos que pueden cambiarse bajo ciertas condiciones (metonimias).</w:t>
      </w:r>
    </w:p>
    <w:p w:rsidR="0068377D" w:rsidRDefault="0068377D"/>
    <w:p w:rsidR="00E05BC6" w:rsidRDefault="00E05BC6"/>
    <w:p w:rsidR="00852F1C" w:rsidRDefault="00962993">
      <w:r>
        <w:t>2.1 Los dos 2 principios del relato (Todorov): El relato en su esencia no se conforma con una descripción, exige el desarrollo de una acción, algo que marque un cambio el cual le permite al relato continuar a través de la temporalidad</w:t>
      </w:r>
      <w:r w:rsidR="00EA0C98">
        <w:t>, siendo esta necesaria</w:t>
      </w:r>
      <w:r w:rsidR="0050483A">
        <w:t xml:space="preserve"> la cual se fragmenta en unidades discontinuas en su encadenamiento, siendo el primer </w:t>
      </w:r>
    </w:p>
    <w:p w:rsidR="00520A33" w:rsidRPr="00520A33" w:rsidRDefault="00520A33">
      <w:r>
        <w:t xml:space="preserve">principio del relato el de la </w:t>
      </w:r>
      <w:r w:rsidRPr="00520A33">
        <w:rPr>
          <w:i/>
          <w:iCs/>
        </w:rPr>
        <w:t>sucesión</w:t>
      </w:r>
      <w:r>
        <w:rPr>
          <w:i/>
          <w:iCs/>
        </w:rPr>
        <w:t xml:space="preserve"> </w:t>
      </w:r>
      <w:r>
        <w:t xml:space="preserve">de hechos y relaciones encadenados entre </w:t>
      </w:r>
      <w:proofErr w:type="spellStart"/>
      <w:r>
        <w:t>si</w:t>
      </w:r>
      <w:proofErr w:type="spellEnd"/>
      <w:r>
        <w:t>, los cuales algunos pueden presentar ciertas similitudes</w:t>
      </w:r>
      <w:r w:rsidR="0050483A">
        <w:t xml:space="preserve"> o no.</w:t>
      </w:r>
    </w:p>
    <w:p w:rsidR="00962993" w:rsidRDefault="00513EA3">
      <w:r>
        <w:t xml:space="preserve">El segundo principio del relato es el de la </w:t>
      </w:r>
      <w:r w:rsidRPr="00513EA3">
        <w:rPr>
          <w:i/>
          <w:iCs/>
        </w:rPr>
        <w:t>transformación</w:t>
      </w:r>
      <w:r>
        <w:rPr>
          <w:i/>
          <w:iCs/>
        </w:rPr>
        <w:t xml:space="preserve"> </w:t>
      </w:r>
      <w:r>
        <w:t>las cuales pueden tener un poder formador o evocador.</w:t>
      </w:r>
    </w:p>
    <w:p w:rsidR="00513EA3" w:rsidRDefault="00513EA3">
      <w:r>
        <w:t>Ambas, sucesión y transformación son imprescindibles para el relato</w:t>
      </w:r>
      <w:r w:rsidR="0050483A">
        <w:t>.</w:t>
      </w:r>
    </w:p>
    <w:p w:rsidR="0068377D" w:rsidRDefault="0068377D"/>
    <w:p w:rsidR="00E05BC6" w:rsidRDefault="00E05BC6"/>
    <w:p w:rsidR="0068377D" w:rsidRDefault="00A524AB">
      <w:r>
        <w:t>3.1</w:t>
      </w:r>
      <w:r w:rsidR="00B1076F">
        <w:t xml:space="preserve">La </w:t>
      </w:r>
      <w:proofErr w:type="spellStart"/>
      <w:r w:rsidR="00B1076F" w:rsidRPr="00B1076F">
        <w:rPr>
          <w:i/>
          <w:iCs/>
        </w:rPr>
        <w:t>inventio</w:t>
      </w:r>
      <w:proofErr w:type="spellEnd"/>
      <w:r w:rsidR="00B1076F">
        <w:rPr>
          <w:i/>
          <w:iCs/>
        </w:rPr>
        <w:t xml:space="preserve"> </w:t>
      </w:r>
      <w:r w:rsidR="00B1076F">
        <w:t>corresponde al momento de encontrar que decir, no en el sentido de crearlo ya que todo existe sino a apelar a una noción más extractiva que creativa.</w:t>
      </w:r>
    </w:p>
    <w:p w:rsidR="00B1076F" w:rsidRDefault="00B1076F">
      <w:r>
        <w:t xml:space="preserve">De ella parten dos </w:t>
      </w:r>
      <w:proofErr w:type="spellStart"/>
      <w:r>
        <w:t>vias</w:t>
      </w:r>
      <w:proofErr w:type="spellEnd"/>
      <w:r>
        <w:t>: la de conmover o la de convencer</w:t>
      </w:r>
    </w:p>
    <w:p w:rsidR="00B1076F" w:rsidRDefault="00B1076F">
      <w:r>
        <w:t>El momento de la dispositivo consiste en el ordenamiento que le damos a las partes del discurso</w:t>
      </w:r>
      <w:r w:rsidR="00A524AB">
        <w:t>, es decir la composición del mismo.</w:t>
      </w:r>
    </w:p>
    <w:p w:rsidR="00B1076F" w:rsidRDefault="00B1076F">
      <w:proofErr w:type="spellStart"/>
      <w:r>
        <w:t>Aristoteles</w:t>
      </w:r>
      <w:proofErr w:type="spellEnd"/>
      <w:r>
        <w:t xml:space="preserve"> menciona 4 partes: Exordio y el epilogo (Partes extremas del discurso)</w:t>
      </w:r>
    </w:p>
    <w:p w:rsidR="00A524AB" w:rsidRDefault="00A524AB">
      <w:r>
        <w:t>Exordio: es el momento de seducción de los oyentes a los que se intenta captar mediante una prueba de complicidad.</w:t>
      </w:r>
    </w:p>
    <w:p w:rsidR="00A524AB" w:rsidRDefault="00A524AB">
      <w:r>
        <w:t>Epilogo: Comprende el nivel de resumir y el nivel de los sentimiento</w:t>
      </w:r>
    </w:p>
    <w:p w:rsidR="00B1076F" w:rsidRDefault="00A524AB">
      <w:r>
        <w:t xml:space="preserve">Y la </w:t>
      </w:r>
      <w:proofErr w:type="spellStart"/>
      <w:r>
        <w:t>Narratio</w:t>
      </w:r>
      <w:proofErr w:type="spellEnd"/>
      <w:r>
        <w:t xml:space="preserve"> y </w:t>
      </w:r>
      <w:proofErr w:type="spellStart"/>
      <w:r>
        <w:t>Confirmatio</w:t>
      </w:r>
      <w:proofErr w:type="spellEnd"/>
      <w:r>
        <w:t xml:space="preserve"> (Partes intermedias del discurso)</w:t>
      </w:r>
    </w:p>
    <w:p w:rsidR="00A524AB" w:rsidRDefault="00A524AB">
      <w:proofErr w:type="spellStart"/>
      <w:r>
        <w:t>Narratio</w:t>
      </w:r>
      <w:proofErr w:type="spellEnd"/>
      <w:r>
        <w:t>: Es el relato de los hechos concebido exclusivamente desde el punto de vista de la prueba., es una premisa argumentativa.</w:t>
      </w:r>
    </w:p>
    <w:p w:rsidR="00A524AB" w:rsidRDefault="00A524AB">
      <w:proofErr w:type="spellStart"/>
      <w:r>
        <w:t>Confirmatio</w:t>
      </w:r>
      <w:proofErr w:type="spellEnd"/>
      <w:r>
        <w:t xml:space="preserve">: Que es cuando se enuncian las pruebas que fueron armadas en la </w:t>
      </w:r>
      <w:proofErr w:type="spellStart"/>
      <w:r>
        <w:t>inventi</w:t>
      </w:r>
      <w:r w:rsidR="007F0DB4">
        <w:t>o</w:t>
      </w:r>
      <w:proofErr w:type="spellEnd"/>
      <w:r>
        <w:t>.</w:t>
      </w:r>
    </w:p>
    <w:p w:rsidR="007F0DB4" w:rsidRDefault="007F0DB4" w:rsidP="007F0DB4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</w:p>
    <w:p w:rsidR="00E05BC6" w:rsidRDefault="00E05BC6" w:rsidP="007F0DB4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</w:p>
    <w:p w:rsidR="00E05BC6" w:rsidRDefault="00E05BC6" w:rsidP="007F0DB4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</w:p>
    <w:p w:rsidR="007F0DB4" w:rsidRDefault="007F0DB4" w:rsidP="007F0DB4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5.1 La afirmación “El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verosimil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 ocupa el lugar de la verdad sin serlo” hace mención a que no es la verdad en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si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, sino que algo parecido a ella que enmarcada en un contexto donde es posible ocupa el lugar de la verdad. Por ejemplo dentro del mundo cinematográfico hay verosímiles según la convención de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genero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 y que dentro de ellas ocupan ese lugar.</w:t>
      </w:r>
    </w:p>
    <w:p w:rsidR="00005E8D" w:rsidRDefault="00005E8D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</w:p>
    <w:p w:rsidR="00E05BC6" w:rsidRDefault="00E05BC6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</w:p>
    <w:p w:rsidR="00E05BC6" w:rsidRDefault="00E05BC6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</w:p>
    <w:p w:rsidR="004D4CA0" w:rsidRDefault="004D4CA0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6</w:t>
      </w:r>
      <w:r w:rsidR="00866DD1" w:rsidRPr="00852F1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.2</w:t>
      </w:r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 La diferencia de los vínculos de “enunciador pedagógico” y “enunciador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complice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” en el contrato de lectura que Plantea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Veron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 es que en el enunciador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complice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 se pretende incluir, hacer parte al enunciatario. Por ejemplo usando el nosotros inclusivo o en un programa de televisión que el conductor intente ponerse en la misma posición que el espectador o en una actitud de compresión.</w:t>
      </w:r>
    </w:p>
    <w:p w:rsidR="004D4CA0" w:rsidRDefault="004D4CA0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En el caso del enunciador pedagógico se trata de una relación complementaria con el enunciatario donde el enunciador se define como el que posee el saber a diferencia del enunciatario el que se encuentra en posición de aprender.</w:t>
      </w:r>
    </w:p>
    <w:p w:rsidR="004D4CA0" w:rsidRDefault="004D4CA0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En este caso el enunciador podría valerse en el nosotros pero exclusivo.</w:t>
      </w:r>
    </w:p>
    <w:p w:rsidR="00E05BC6" w:rsidRDefault="00E05BC6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</w:p>
    <w:p w:rsidR="00E05BC6" w:rsidRDefault="00E05BC6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</w:p>
    <w:p w:rsidR="00E05BC6" w:rsidRDefault="00E05BC6">
      <w:pP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</w:p>
    <w:p w:rsidR="00E05BC6" w:rsidRDefault="00E05BC6" w:rsidP="00E05BC6">
      <w:r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7.</w:t>
      </w:r>
      <w:r w:rsidRPr="00E05BC6">
        <w:t xml:space="preserve"> </w:t>
      </w:r>
      <w:r>
        <w:t xml:space="preserve">Como operaciones retoricas podemos la presentación de un texto que contiene </w:t>
      </w:r>
      <w:proofErr w:type="spellStart"/>
      <w:r>
        <w:t>hasthags</w:t>
      </w:r>
      <w:proofErr w:type="spellEnd"/>
      <w:r>
        <w:t xml:space="preserve"> y un hipervínculo característico en este caso de las plataformas digitales y sobre todo de Twitter, el cual </w:t>
      </w:r>
      <w:r>
        <w:t>está</w:t>
      </w:r>
      <w:r>
        <w:t xml:space="preserve"> acompañado con una imagen retocada digitalmente de un avión la cual presenta las bases del servicio. Siendo predominantes las funciones conativa y referencial.</w:t>
      </w:r>
    </w:p>
    <w:p w:rsidR="00E05BC6" w:rsidRDefault="00E05BC6" w:rsidP="00E05BC6">
      <w:r>
        <w:t>En cuanto a lo temático recupera discursos relacionados con el turismo, la aviación y los viajes</w:t>
      </w:r>
    </w:p>
    <w:p w:rsidR="00E05BC6" w:rsidRDefault="00E05BC6" w:rsidP="00E05BC6">
      <w:r>
        <w:t xml:space="preserve">Como operaciones enunciativas podemos encontrar un efecto de sentido de invitar al </w:t>
      </w:r>
      <w:proofErr w:type="spellStart"/>
      <w:r>
        <w:t>al</w:t>
      </w:r>
      <w:proofErr w:type="spellEnd"/>
      <w:r>
        <w:t xml:space="preserve"> espectador a realizar un viaje dentro del territorio Argentino, de promover el turismo nacional el cual esta beneficiado económicamente</w:t>
      </w:r>
    </w:p>
    <w:p w:rsidR="00E05BC6" w:rsidRPr="00866DD1" w:rsidRDefault="00E05BC6">
      <w:pPr>
        <w:rPr>
          <w:rFonts w:ascii="Times New Roman" w:eastAsia="Times New Roman" w:hAnsi="Times New Roman" w:cs="Times New Roman"/>
          <w:lang w:eastAsia="es-ES_tradnl"/>
        </w:rPr>
      </w:pPr>
    </w:p>
    <w:sectPr w:rsidR="00E05BC6" w:rsidRPr="00866DD1" w:rsidSect="00EC732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5B26"/>
    <w:multiLevelType w:val="multilevel"/>
    <w:tmpl w:val="180C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6345B"/>
    <w:multiLevelType w:val="multilevel"/>
    <w:tmpl w:val="ABF8EB46"/>
    <w:lvl w:ilvl="0">
      <w:numFmt w:val="decimal"/>
      <w:lvlText w:val="%1.0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2" w15:restartNumberingAfterBreak="0">
    <w:nsid w:val="28A756A7"/>
    <w:multiLevelType w:val="multilevel"/>
    <w:tmpl w:val="001C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93F1F"/>
    <w:multiLevelType w:val="multilevel"/>
    <w:tmpl w:val="8C50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55490">
    <w:abstractNumId w:val="3"/>
  </w:num>
  <w:num w:numId="2" w16cid:durableId="1103264015">
    <w:abstractNumId w:val="0"/>
  </w:num>
  <w:num w:numId="3" w16cid:durableId="70398236">
    <w:abstractNumId w:val="2"/>
  </w:num>
  <w:num w:numId="4" w16cid:durableId="85611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1C"/>
    <w:rsid w:val="00005E8D"/>
    <w:rsid w:val="00242298"/>
    <w:rsid w:val="00307A15"/>
    <w:rsid w:val="004D4CA0"/>
    <w:rsid w:val="0050483A"/>
    <w:rsid w:val="00513EA3"/>
    <w:rsid w:val="00520A33"/>
    <w:rsid w:val="00574FAF"/>
    <w:rsid w:val="0068377D"/>
    <w:rsid w:val="006F15F8"/>
    <w:rsid w:val="007F0DB4"/>
    <w:rsid w:val="00852F1C"/>
    <w:rsid w:val="00866DD1"/>
    <w:rsid w:val="00962993"/>
    <w:rsid w:val="00A524AB"/>
    <w:rsid w:val="00B1076F"/>
    <w:rsid w:val="00B156CD"/>
    <w:rsid w:val="00E05BC6"/>
    <w:rsid w:val="00EA0C98"/>
    <w:rsid w:val="00EC732A"/>
    <w:rsid w:val="00F8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A4C1E"/>
  <w15:chartTrackingRefBased/>
  <w15:docId w15:val="{9CD4EF31-7C81-6048-AA5F-BC05DAE2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F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tab-span">
    <w:name w:val="apple-tab-span"/>
    <w:basedOn w:val="Fuentedeprrafopredeter"/>
    <w:rsid w:val="00852F1C"/>
  </w:style>
  <w:style w:type="character" w:styleId="Hipervnculo">
    <w:name w:val="Hyperlink"/>
    <w:basedOn w:val="Fuentedeprrafopredeter"/>
    <w:uiPriority w:val="99"/>
    <w:semiHidden/>
    <w:unhideWhenUsed/>
    <w:rsid w:val="00852F1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05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witter.com/aerolineas_ar/status/1371464096097267719?lang=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1093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2022-11-02T17:43:00Z</dcterms:created>
  <dcterms:modified xsi:type="dcterms:W3CDTF">2022-11-03T01:34:00Z</dcterms:modified>
</cp:coreProperties>
</file>