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0"/>
          <w:szCs w:val="20"/>
        </w:rPr>
        <w:t xml:space="preserve">bioERGOtech Foundation ETS</w:t>
      </w:r>
    </w:p>
    <w:p>
      <w:pPr>
        <w:pBdr>
          <w:bottom w:val="single" w:color="0E7C7B" w:sz="10" w:space="6"/>
        </w:pBdr>
        <w:spacing w:after="260"/>
      </w:pPr>
      <w:r>
        <w:rPr>
          <w:color w:val="555555"/>
          <w:sz w:val="18"/>
          <w:szCs w:val="18"/>
        </w:rPr>
        <w:t xml:space="preserve">Funding &amp; Grant Eligibility Reference — for Director review</w:t>
      </w:r>
    </w:p>
    <w:p>
      <w:pPr>
        <w:spacing w:after="60"/>
      </w:pPr>
      <w:r>
        <w:rPr>
          <w:b/>
          <w:bCs/>
          <w:color w:val="1B2A4A"/>
          <w:sz w:val="36"/>
          <w:szCs w:val="36"/>
        </w:rPr>
        <w:t xml:space="preserve">EU Grants — Horizon Europe Health Cluster &amp; EIC Accelerator</w:t>
      </w:r>
    </w:p>
    <w:p>
      <w:pPr>
        <w:spacing w:after="300"/>
      </w:pPr>
      <w:r>
        <w:rPr>
          <w:i/>
          <w:iCs/>
          <w:color w:val="555555"/>
          <w:sz w:val="22"/>
          <w:szCs w:val="22"/>
        </w:rPr>
        <w:t xml:space="preserve">The two most relevant EU-level funding routes for bioERGOtech's health-tech, biotech, and AI-in-healthcare partners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FF4E0" w:val="clear"/>
            <w:tcMar>
              <w:top w:type="dxa" w:w="140"/>
              <w:left w:type="dxa" w:w="160"/>
              <w:bottom w:type="dxa" w:w="140"/>
              <w:right w:type="dxa" w:w="160"/>
            </w:tcMar>
          </w:tcPr>
          <w:p>
            <w:pPr>
              <w:spacing w:after="40"/>
            </w:pPr>
            <w:r>
              <w:rPr>
                <w:b/>
                <w:bCs/>
                <w:color w:val="8A5A00"/>
                <w:sz w:val="20"/>
                <w:szCs w:val="20"/>
              </w:rPr>
              <w:t xml:space="preserve">STATUS AS OF THIS DOCUMENT (mid-2026)</w:t>
            </w:r>
          </w:p>
          <w:p>
            <w:r>
              <w:rPr>
                <w:color w:val="5A3D00"/>
                <w:sz w:val="20"/>
                <w:szCs w:val="20"/>
              </w:rPr>
              <w:t xml:space="preserve">The 2026 Horizon Europe Health Cluster single-stage call closed 16 April 2026 — already passed. The next opportunities are 2027 topics, most opening in autumn 2026 or February 2027 depending on topic. The EIC Accelerator, by contrast, is continuously open for short-proposal submissions with bimonthly full-proposal cut-offs — the next 2026 cut-off after this document's writing is 2 September 2026, followed by 4 November 2026. Treat these two programmes very differently in Navigator copy: Horizon Health calls are date-gated and mostly closed for 2026, EIC Accelerator is a live, ongoing option right now.</w:t>
            </w:r>
          </w:p>
        </w:tc>
      </w:tr>
    </w:tbl>
    <w:p>
      <w:pPr>
        <w:spacing w:after="200"/>
      </w:pPr>
    </w:p>
    <w:p>
      <w:pPr>
        <w:pStyle w:val="Heading1"/>
        <w:pBdr>
          <w:bottom w:val="single" w:color="0E7C7B" w:sz="6" w:space="4"/>
        </w:pBdr>
        <w:spacing w:after="140" w:before="320"/>
      </w:pPr>
      <w:r>
        <w:rPr>
          <w:b/>
          <w:bCs/>
          <w:color w:val="1B2A4A"/>
          <w:sz w:val="26"/>
          <w:szCs w:val="26"/>
        </w:rPr>
        <w:t xml:space="preserve">PART A — Horizon Europe Health Cluster (Cluster 1)</w:t>
      </w:r>
    </w:p>
    <w:p>
      <w:pPr>
        <w:spacing w:after="100" w:before="220"/>
      </w:pPr>
      <w:r>
        <w:rPr>
          <w:b/>
          <w:bCs/>
          <w:color w:val="0E7C7B"/>
          <w:sz w:val="22"/>
          <w:szCs w:val="22"/>
        </w:rPr>
        <w:t xml:space="preserve">1. What it is</w:t>
      </w:r>
    </w:p>
    <w:p>
      <w:pPr>
        <w:spacing w:after="140" w:line="300"/>
      </w:pPr>
      <w:r>
        <w:rPr>
          <w:color w:val="222222"/>
          <w:sz w:val="22"/>
          <w:szCs w:val="22"/>
        </w:rPr>
        <w:t xml:space="preserve">Cluster 1 'Health' is one of six thematic clusters under Horizon Europe, the EU's research and innovation programme (2021–2027, current Work Programme covering 2026–2027). It funds collaborative research and innovation projects addressing disease prevention, diagnosis, treatment, digital health, and healthcare system resilience, with explicit priority areas including AI and biotechnology in healthcare and the European Health Data Space (EHDS).</w:t>
      </w:r>
    </w:p>
    <w:p>
      <w:pPr>
        <w:spacing w:after="140" w:line="300"/>
      </w:pPr>
      <w:r>
        <w:rPr>
          <w:color w:val="222222"/>
          <w:sz w:val="22"/>
          <w:szCs w:val="22"/>
        </w:rPr>
        <w:t xml:space="preserve">Managed by the European Health and Digital Executive Agency (HaDEA) on behalf of the European Commission.</w:t>
      </w:r>
    </w:p>
    <w:p>
      <w:pPr>
        <w:spacing w:after="100" w:before="220"/>
      </w:pPr>
      <w:r>
        <w:rPr>
          <w:b/>
          <w:bCs/>
          <w:color w:val="0E7C7B"/>
          <w:sz w:val="22"/>
          <w:szCs w:val="22"/>
        </w:rPr>
        <w:t xml:space="preserve">2. Who is eligible</w:t>
      </w:r>
    </w:p>
    <w:p>
      <w:pPr>
        <w:pStyle w:val="ListParagraph"/>
        <w:numPr>
          <w:ilvl w:val="0"/>
          <w:numId w:val="2"/>
        </w:numPr>
        <w:spacing w:after="80" w:line="290"/>
      </w:pPr>
      <w:r>
        <w:rPr>
          <w:color w:val="222222"/>
          <w:sz w:val="22"/>
          <w:szCs w:val="22"/>
        </w:rPr>
        <w:t xml:space="preserve">Public and private entities established in EU Member States or countries associated to Horizon Europe (a list of non-EU 'associated countries' also qualifies, e.g. Norway, and historically the UK for many calls).</w:t>
      </w:r>
    </w:p>
    <w:p>
      <w:pPr>
        <w:pStyle w:val="ListParagraph"/>
        <w:numPr>
          <w:ilvl w:val="0"/>
          <w:numId w:val="2"/>
        </w:numPr>
        <w:spacing w:after="80" w:line="290"/>
      </w:pPr>
      <w:r>
        <w:rPr>
          <w:color w:val="222222"/>
          <w:sz w:val="22"/>
          <w:szCs w:val="22"/>
        </w:rPr>
        <w:t xml:space="preserve">Almost all Health Cluster topics require a MULTI-PARTNER CONSORTIUM — typically a minimum of three independent legal entities from three different eligible countries. This is a fundamentally different eligibility shape than the other three schemes in this document set: bioERGOtech would need to either lead or join a consortium, not apply alone.</w:t>
      </w:r>
    </w:p>
    <w:p>
      <w:pPr>
        <w:pStyle w:val="ListParagraph"/>
        <w:numPr>
          <w:ilvl w:val="0"/>
          <w:numId w:val="2"/>
        </w:numPr>
        <w:spacing w:after="80" w:line="290"/>
      </w:pPr>
      <w:r>
        <w:rPr>
          <w:color w:val="222222"/>
          <w:sz w:val="22"/>
          <w:szCs w:val="22"/>
        </w:rPr>
        <w:t xml:space="preserve">Participation is also open to entities from third (non-associated) countries in many cases, particularly where international health cooperation is the topic's aim — worth checking case by case, as some topics carry restrictions (e.g. related to entities established in China for certain sensitive topics).</w:t>
      </w:r>
    </w:p>
    <w:p>
      <w:pPr>
        <w:spacing w:after="100" w:before="220"/>
      </w:pPr>
      <w:r>
        <w:rPr>
          <w:b/>
          <w:bCs/>
          <w:color w:val="0E7C7B"/>
          <w:sz w:val="22"/>
          <w:szCs w:val="22"/>
        </w:rPr>
        <w:t xml:space="preserve">3. Funding amounts</w:t>
      </w:r>
    </w:p>
    <w:p>
      <w:pPr>
        <w:pStyle w:val="ListParagraph"/>
        <w:numPr>
          <w:ilvl w:val="0"/>
          <w:numId w:val="2"/>
        </w:numPr>
        <w:spacing w:after="80" w:line="290"/>
      </w:pPr>
      <w:r>
        <w:rPr>
          <w:color w:val="222222"/>
          <w:sz w:val="22"/>
          <w:szCs w:val="22"/>
        </w:rPr>
        <w:t xml:space="preserve">Typical EU contribution per project: €1.5 million to €10 million, and up to roughly €90 million for the largest calls, varying enormously by specific topic.</w:t>
      </w:r>
    </w:p>
    <w:p>
      <w:pPr>
        <w:pStyle w:val="ListParagraph"/>
        <w:numPr>
          <w:ilvl w:val="0"/>
          <w:numId w:val="2"/>
        </w:numPr>
        <w:spacing w:after="80" w:line="290"/>
      </w:pPr>
      <w:r>
        <w:rPr>
          <w:color w:val="222222"/>
          <w:sz w:val="22"/>
          <w:szCs w:val="22"/>
        </w:rPr>
        <w:t xml:space="preserve">Funding can cover up to 100% of costs depending on the call type (Research and Innovation Actions typically fund up to 100%; Innovation Actions may have different co-funding rules).</w:t>
      </w:r>
    </w:p>
    <w:p>
      <w:pPr>
        <w:spacing w:after="100" w:before="220"/>
      </w:pPr>
      <w:r>
        <w:rPr>
          <w:b/>
          <w:bCs/>
          <w:color w:val="0E7C7B"/>
          <w:sz w:val="22"/>
          <w:szCs w:val="22"/>
        </w:rPr>
        <w:t xml:space="preserve">4. Topics most relevant to bioERGOtech (2026–2027 Work Programme)</w:t>
      </w:r>
    </w:p>
    <w:p>
      <w:pPr>
        <w:pStyle w:val="ListParagraph"/>
        <w:numPr>
          <w:ilvl w:val="0"/>
          <w:numId w:val="2"/>
        </w:numPr>
        <w:spacing w:after="80" w:line="290"/>
      </w:pPr>
      <w:r>
        <w:rPr>
          <w:color w:val="222222"/>
          <w:sz w:val="22"/>
          <w:szCs w:val="22"/>
        </w:rPr>
        <w:t xml:space="preserve">HORIZON-HLTH-2026-01-TOOL series: covers regenerative medicine follow-on funding, New Approach Methodologies for biomedical research, and a European network of Centres of Excellence for Advanced Therapy Medicinal Products — closely aligned to cellular therapeutics.</w:t>
      </w:r>
    </w:p>
    <w:p>
      <w:pPr>
        <w:pStyle w:val="ListParagraph"/>
        <w:numPr>
          <w:ilvl w:val="0"/>
          <w:numId w:val="2"/>
        </w:numPr>
        <w:spacing w:after="80" w:line="290"/>
      </w:pPr>
      <w:r>
        <w:rPr>
          <w:color w:val="222222"/>
          <w:sz w:val="22"/>
          <w:szCs w:val="22"/>
        </w:rPr>
        <w:t xml:space="preserve">HORIZON-HLTH-2027-02-TOOL-01 (two-stage): development of AI-driven predictive biomarkers for chronic disease — directly relevant to the Foundation's AI/digital-health focus, opening in 2027.</w:t>
      </w:r>
    </w:p>
    <w:p>
      <w:pPr>
        <w:pStyle w:val="ListParagraph"/>
        <w:numPr>
          <w:ilvl w:val="0"/>
          <w:numId w:val="2"/>
        </w:numPr>
        <w:spacing w:after="80" w:line="290"/>
      </w:pPr>
      <w:r>
        <w:rPr>
          <w:color w:val="222222"/>
          <w:sz w:val="22"/>
          <w:szCs w:val="22"/>
        </w:rPr>
        <w:t xml:space="preserve">HORIZON-HLTH-2027-03-TOOL-08: 'Towards Artificial General Intelligence (AGI) for healthcare' — a CSA (Coordination and Support Action) topic, notably aligned with the Foundation's AI ambitions, opening in 2027.</w:t>
      </w:r>
    </w:p>
    <w:p>
      <w:pPr>
        <w:pStyle w:val="ListParagraph"/>
        <w:numPr>
          <w:ilvl w:val="0"/>
          <w:numId w:val="2"/>
        </w:numPr>
        <w:spacing w:after="80" w:line="290"/>
      </w:pPr>
      <w:r>
        <w:rPr>
          <w:color w:val="222222"/>
          <w:sz w:val="22"/>
          <w:szCs w:val="22"/>
        </w:rPr>
        <w:t xml:space="preserve">General Health Cluster priorities also explicitly reference digitalisation, AI, and biotechnology as cross-cutting themes across nearly all 2026–2027 topics, so a proposal framed around bioERGOtech's cellular-therapeutics-plus-AI positioning has multiple potential entry points, not just one topic.</w:t>
      </w:r>
    </w:p>
    <w:p>
      <w:pPr>
        <w:spacing w:after="100" w:before="220"/>
      </w:pPr>
      <w:r>
        <w:rPr>
          <w:b/>
          <w:bCs/>
          <w:color w:val="0E7C7B"/>
          <w:sz w:val="22"/>
          <w:szCs w:val="22"/>
        </w:rPr>
        <w:t xml:space="preserve">5. Suggested Navigator rule mapping (Part A)</w:t>
      </w:r>
    </w:p>
    <w:p>
      <w:pPr>
        <w:spacing w:after="140" w:line="300"/>
      </w:pPr>
      <w:r>
        <w:rPr>
          <w:color w:val="222222"/>
          <w:sz w:val="22"/>
          <w:szCs w:val="22"/>
        </w:rPr>
        <w:t xml:space="preserve">Maps to org_type = university, hospital, ngo (research-active), given the consortium requirement — a solo startup or small NGO without existing research partners is a weak fit for this route alone, and the Navigator's results copy should say so plainly rather than implying a solo application is realistic. Region = EU member states and Horizon-associated countries. This is also the one scheme in this set where bioERGOtech's own GIC project experience and existing hospital-network relationships are a genuine credibility asset worth mentioning to a prospective consortium partner.</w:t>
      </w:r>
    </w:p>
    <w:p>
      <w:pPr>
        <w:pStyle w:val="Heading1"/>
        <w:pBdr>
          <w:bottom w:val="single" w:color="0E7C7B" w:sz="6" w:space="4"/>
        </w:pBdr>
        <w:spacing w:after="140" w:before="320"/>
      </w:pPr>
      <w:r>
        <w:rPr>
          <w:b/>
          <w:bCs/>
          <w:color w:val="1B2A4A"/>
          <w:sz w:val="26"/>
          <w:szCs w:val="26"/>
        </w:rPr>
        <w:t xml:space="preserve">PART B — EIC Accelerator</w:t>
      </w:r>
    </w:p>
    <w:p>
      <w:pPr>
        <w:spacing w:after="100" w:before="220"/>
      </w:pPr>
      <w:r>
        <w:rPr>
          <w:b/>
          <w:bCs/>
          <w:color w:val="0E7C7B"/>
          <w:sz w:val="22"/>
          <w:szCs w:val="22"/>
        </w:rPr>
        <w:t xml:space="preserve">1. What it is</w:t>
      </w:r>
    </w:p>
    <w:p>
      <w:pPr>
        <w:spacing w:after="140" w:line="300"/>
      </w:pPr>
      <w:r>
        <w:rPr>
          <w:color w:val="222222"/>
          <w:sz w:val="22"/>
          <w:szCs w:val="22"/>
        </w:rPr>
        <w:t xml:space="preserve">The EIC Accelerator is the European Innovation Council's flagship funding instrument for individual companies (not consortia) developing high-risk, high-potential deep-tech innovations, including biotech and AI. It is part of Horizon Europe but structurally very different from the Health Cluster: it funds a single applicant company directly, via blended grant-plus-equity, equity-only, or grant-only support.</w:t>
      </w:r>
    </w:p>
    <w:p>
      <w:pPr>
        <w:spacing w:after="100" w:before="220"/>
      </w:pPr>
      <w:r>
        <w:rPr>
          <w:b/>
          <w:bCs/>
          <w:color w:val="0E7C7B"/>
          <w:sz w:val="22"/>
          <w:szCs w:val="22"/>
        </w:rPr>
        <w:t xml:space="preserve">2. Who is eligible</w:t>
      </w:r>
    </w:p>
    <w:p>
      <w:pPr>
        <w:pStyle w:val="ListParagraph"/>
        <w:numPr>
          <w:ilvl w:val="0"/>
          <w:numId w:val="2"/>
        </w:numPr>
        <w:spacing w:after="80" w:line="290"/>
      </w:pPr>
      <w:r>
        <w:rPr>
          <w:color w:val="222222"/>
          <w:sz w:val="22"/>
          <w:szCs w:val="22"/>
        </w:rPr>
        <w:t xml:space="preserve">For-profit startups and SMEs (under 250 employees, turnover under €50 million) legally established in an EU Member State or a Horizon Europe-associated country.</w:t>
      </w:r>
    </w:p>
    <w:p>
      <w:pPr>
        <w:pStyle w:val="ListParagraph"/>
        <w:numPr>
          <w:ilvl w:val="0"/>
          <w:numId w:val="2"/>
        </w:numPr>
        <w:spacing w:after="80" w:line="290"/>
      </w:pPr>
      <w:r>
        <w:rPr>
          <w:color w:val="222222"/>
          <w:sz w:val="22"/>
          <w:szCs w:val="22"/>
        </w:rPr>
        <w:t xml:space="preserve">Applies alone — never as part of a consortium, unlike the Health Cluster.</w:t>
      </w:r>
    </w:p>
    <w:p>
      <w:pPr>
        <w:pStyle w:val="ListParagraph"/>
        <w:numPr>
          <w:ilvl w:val="0"/>
          <w:numId w:val="2"/>
        </w:numPr>
        <w:spacing w:after="80" w:line="290"/>
      </w:pPr>
      <w:r>
        <w:rPr>
          <w:color w:val="222222"/>
          <w:sz w:val="22"/>
          <w:szCs w:val="22"/>
        </w:rPr>
        <w:t xml:space="preserve">Core technology must already be validated at a minimum Technology Readiness Level (TRL) 5 — i.e. tested in a relevant environment but not yet fully market-ready. Pure early-stage research (TRL 1–4) belongs in the separate EIC Pathfinder programme instead, not the Accelerator.</w:t>
      </w:r>
    </w:p>
    <w:p>
      <w:pPr>
        <w:pStyle w:val="ListParagraph"/>
        <w:numPr>
          <w:ilvl w:val="0"/>
          <w:numId w:val="2"/>
        </w:numPr>
        <w:spacing w:after="80" w:line="290"/>
      </w:pPr>
      <w:r>
        <w:rPr>
          <w:color w:val="222222"/>
          <w:sz w:val="22"/>
          <w:szCs w:val="22"/>
        </w:rPr>
        <w:t xml:space="preserve">Small mid-cap companies (up to 499 employees) may apply, but only for the investment-only (equity) track, not the grant.</w:t>
      </w:r>
    </w:p>
    <w:p>
      <w:pPr>
        <w:pStyle w:val="ListParagraph"/>
        <w:numPr>
          <w:ilvl w:val="0"/>
          <w:numId w:val="2"/>
        </w:numPr>
        <w:spacing w:after="80" w:line="290"/>
      </w:pPr>
      <w:r>
        <w:rPr>
          <w:color w:val="222222"/>
          <w:sz w:val="22"/>
          <w:szCs w:val="22"/>
        </w:rPr>
        <w:t xml:space="preserve">UK-based companies can currently only apply for the grant-only scheme, not blended finance or equity, given the UK's non-associated status for certain Horizon Europe components.</w:t>
      </w:r>
    </w:p>
    <w:p>
      <w:pPr>
        <w:pStyle w:val="ListParagraph"/>
        <w:numPr>
          <w:ilvl w:val="0"/>
          <w:numId w:val="2"/>
        </w:numPr>
        <w:spacing w:after="80" w:line="290"/>
      </w:pPr>
      <w:r>
        <w:rPr>
          <w:color w:val="222222"/>
          <w:sz w:val="22"/>
          <w:szCs w:val="22"/>
        </w:rPr>
        <w:t xml:space="preserve">A company may only receive the once-only grant component once during the entire 2021–2027 Horizon Europe period, and after three unsuccessful submissions (at any stage) of the same or an improved proposal, the applicant is barred from reapplying for the remainder of the programme.</w:t>
      </w:r>
    </w:p>
    <w:p>
      <w:pPr>
        <w:spacing w:after="100" w:before="220"/>
      </w:pPr>
      <w:r>
        <w:rPr>
          <w:b/>
          <w:bCs/>
          <w:color w:val="0E7C7B"/>
          <w:sz w:val="22"/>
          <w:szCs w:val="22"/>
        </w:rPr>
        <w:t xml:space="preserve">3. Funding amounts and structure</w:t>
      </w:r>
    </w:p>
    <w:p>
      <w:pPr>
        <w:pStyle w:val="ListParagraph"/>
        <w:numPr>
          <w:ilvl w:val="0"/>
          <w:numId w:val="2"/>
        </w:numPr>
        <w:spacing w:after="80" w:line="290"/>
      </w:pPr>
      <w:r>
        <w:rPr>
          <w:color w:val="222222"/>
          <w:sz w:val="22"/>
          <w:szCs w:val="22"/>
        </w:rPr>
        <w:t xml:space="preserve">Grant-only: up to €2.5 million, fully non-dilutive (no equity given up), for innovation activities at TRL 6–8 (prototyping, trials, testing, industrial deployment).</w:t>
      </w:r>
    </w:p>
    <w:p>
      <w:pPr>
        <w:pStyle w:val="ListParagraph"/>
        <w:numPr>
          <w:ilvl w:val="0"/>
          <w:numId w:val="2"/>
        </w:numPr>
        <w:spacing w:after="80" w:line="290"/>
      </w:pPr>
      <w:r>
        <w:rPr>
          <w:color w:val="222222"/>
          <w:sz w:val="22"/>
          <w:szCs w:val="22"/>
        </w:rPr>
        <w:t xml:space="preserve">Blended finance: the same up-to-€2.5 million grant PLUS equity investment typically €1–10 million (higher via the STEP Scale-Up route) from the EIC Fund, for TRL 6–9 activity including market deployment. Roughly 85% of recent successful applicants received blended finance rather than grant-only or equity-only.</w:t>
      </w:r>
    </w:p>
    <w:p>
      <w:pPr>
        <w:pStyle w:val="ListParagraph"/>
        <w:numPr>
          <w:ilvl w:val="0"/>
          <w:numId w:val="2"/>
        </w:numPr>
        <w:spacing w:after="80" w:line="290"/>
      </w:pPr>
      <w:r>
        <w:rPr>
          <w:color w:val="222222"/>
          <w:sz w:val="22"/>
          <w:szCs w:val="22"/>
        </w:rPr>
        <w:t xml:space="preserve">Investment-only (equity): €1–10 million for companies that no longer need grant support but want scale-up capital.</w:t>
      </w:r>
    </w:p>
    <w:p>
      <w:pPr>
        <w:pStyle w:val="ListParagraph"/>
        <w:numPr>
          <w:ilvl w:val="0"/>
          <w:numId w:val="2"/>
        </w:numPr>
        <w:spacing w:after="80" w:line="290"/>
      </w:pPr>
      <w:r>
        <w:rPr>
          <w:color w:val="222222"/>
          <w:sz w:val="22"/>
          <w:szCs w:val="22"/>
        </w:rPr>
        <w:t xml:space="preserve">2026 total programme budget: approximately €634 million (€414 million for the Open call across any technology/sector, €220 million for thematic Challenge calls).</w:t>
      </w:r>
    </w:p>
    <w:p>
      <w:pPr>
        <w:spacing w:after="100" w:before="220"/>
      </w:pPr>
      <w:r>
        <w:rPr>
          <w:b/>
          <w:bCs/>
          <w:color w:val="0E7C7B"/>
          <w:sz w:val="22"/>
          <w:szCs w:val="22"/>
        </w:rPr>
        <w:t xml:space="preserve">4. Application process and 2026 timeline</w:t>
      </w:r>
    </w:p>
    <w:p>
      <w:pPr>
        <w:pStyle w:val="ListParagraph"/>
        <w:numPr>
          <w:ilvl w:val="0"/>
          <w:numId w:val="2"/>
        </w:numPr>
        <w:spacing w:after="80" w:line="290"/>
      </w:pPr>
      <w:r>
        <w:rPr>
          <w:color w:val="222222"/>
          <w:sz w:val="22"/>
          <w:szCs w:val="22"/>
        </w:rPr>
        <w:t xml:space="preserve">Two-step process: a short proposal (concise application plus a pitch video) can be submitted continuously via the EU Funding &amp; Tenders Portal — there is no fixed deadline for this first step.</w:t>
      </w:r>
    </w:p>
    <w:p>
      <w:pPr>
        <w:pStyle w:val="ListParagraph"/>
        <w:numPr>
          <w:ilvl w:val="0"/>
          <w:numId w:val="2"/>
        </w:numPr>
        <w:spacing w:after="80" w:line="290"/>
      </w:pPr>
      <w:r>
        <w:rPr>
          <w:color w:val="222222"/>
          <w:sz w:val="22"/>
          <w:szCs w:val="22"/>
        </w:rPr>
        <w:t xml:space="preserve">If the short proposal receives a positive assessment ("GO"), the applicant may submit a full proposal at any of the 2026 bimonthly cut-off dates: 7 January, 4 March, 6 May, 8 July, 2 September, 4 November.</w:t>
      </w:r>
    </w:p>
    <w:p>
      <w:pPr>
        <w:pStyle w:val="ListParagraph"/>
        <w:numPr>
          <w:ilvl w:val="0"/>
          <w:numId w:val="2"/>
        </w:numPr>
        <w:spacing w:after="80" w:line="290"/>
      </w:pPr>
      <w:r>
        <w:rPr>
          <w:color w:val="222222"/>
          <w:sz w:val="22"/>
          <w:szCs w:val="22"/>
        </w:rPr>
        <w:t xml:space="preserve">The full proposal is a 20-page form plus pitch deck, a 3-minute video, and annexes (implementation plan, financial information, freedom-to-operate analysis, letters of intent).</w:t>
      </w:r>
    </w:p>
    <w:p>
      <w:pPr>
        <w:pStyle w:val="ListParagraph"/>
        <w:numPr>
          <w:ilvl w:val="0"/>
          <w:numId w:val="2"/>
        </w:numPr>
        <w:spacing w:after="80" w:line="290"/>
      </w:pPr>
      <w:r>
        <w:rPr>
          <w:color w:val="222222"/>
          <w:sz w:val="22"/>
          <w:szCs w:val="22"/>
        </w:rPr>
        <w:t xml:space="preserve">Historical success rates are low — commonly cited at 5–8% for the full process — so this is a genuinely competitive, high-effort route best suited to a partner with a strong technical and commercial case already assembled, not an early exploratory approach.</w:t>
      </w:r>
    </w:p>
    <w:p>
      <w:pPr>
        <w:spacing w:after="100" w:before="220"/>
      </w:pPr>
      <w:r>
        <w:rPr>
          <w:b/>
          <w:bCs/>
          <w:color w:val="0E7C7B"/>
          <w:sz w:val="22"/>
          <w:szCs w:val="22"/>
        </w:rPr>
        <w:t xml:space="preserve">5. Suggested Navigator rule mapping (Part B)</w:t>
      </w:r>
    </w:p>
    <w:p>
      <w:pPr>
        <w:spacing w:after="140" w:line="300"/>
      </w:pPr>
      <w:r>
        <w:rPr>
          <w:color w:val="222222"/>
          <w:sz w:val="22"/>
          <w:szCs w:val="22"/>
        </w:rPr>
        <w:t xml:space="preserve">Maps well to org_type = startup, pharma (small/medium enterprises specifically — a hospital or university applying institutionally is generally NOT the right fit for the Accelerator, since it targets for-profit companies), region = EU member states and Horizon-associated countries, stage = early or established (given the TRL 5+ requirement, a pure idea-stage applicant per the Navigator's own stage categories is likely premature for this route and should probably be steered toward Horizon Health Cluster consortium participation or a national scheme instead).</w:t>
      </w:r>
    </w:p>
    <w:p>
      <w:pPr>
        <w:pStyle w:val="Heading1"/>
        <w:pBdr>
          <w:bottom w:val="single" w:color="0E7C7B" w:sz="6" w:space="4"/>
        </w:pBdr>
        <w:spacing w:after="140" w:before="320"/>
      </w:pPr>
      <w:r>
        <w:rPr>
          <w:b/>
          <w:bCs/>
          <w:color w:val="1B2A4A"/>
          <w:sz w:val="26"/>
          <w:szCs w:val="26"/>
        </w:rPr>
        <w:t xml:space="preserve">Sources</w:t>
      </w:r>
    </w:p>
    <w:p>
      <w:pPr>
        <w:spacing w:after="60"/>
      </w:pPr>
      <w:r>
        <w:rPr>
          <w:color w:val="222222"/>
          <w:sz w:val="20"/>
          <w:szCs w:val="20"/>
        </w:rPr>
        <w:t xml:space="preserve">• </w:t>
      </w:r>
      <w:hyperlink w:history="1" r:id="rIdd7lumn6fpbsi-47g2wsxo">
        <w:r>
          <w:rPr>
            <w:rStyle w:val="Hyperlink"/>
            <w:color w:val="0563C1"/>
            <w:sz w:val="20"/>
            <w:szCs w:val="20"/>
            <w:u w:val="single"/>
          </w:rPr>
          <w:t xml:space="preserve">HaDEA — 2026 Horizon Europe Health calls for proposals announcement</w:t>
        </w:r>
      </w:hyperlink>
    </w:p>
    <w:p>
      <w:pPr>
        <w:spacing w:after="60"/>
      </w:pPr>
      <w:r>
        <w:rPr>
          <w:color w:val="222222"/>
          <w:sz w:val="20"/>
          <w:szCs w:val="20"/>
        </w:rPr>
        <w:t xml:space="preserve">• </w:t>
      </w:r>
      <w:hyperlink w:history="1" r:id="rIdmepq90oqlhqafn74ykutw">
        <w:r>
          <w:rPr>
            <w:rStyle w:val="Hyperlink"/>
            <w:color w:val="0563C1"/>
            <w:sz w:val="20"/>
            <w:szCs w:val="20"/>
            <w:u w:val="single"/>
          </w:rPr>
          <w:t xml:space="preserve">European Commission — Horizon Europe Work Programme 2026-2027, Health (Cluster 1) PDF</w:t>
        </w:r>
      </w:hyperlink>
    </w:p>
    <w:p>
      <w:pPr>
        <w:spacing w:after="60"/>
      </w:pPr>
      <w:r>
        <w:rPr>
          <w:color w:val="222222"/>
          <w:sz w:val="20"/>
          <w:szCs w:val="20"/>
        </w:rPr>
        <w:t xml:space="preserve">• </w:t>
      </w:r>
      <w:hyperlink w:history="1" r:id="rIdwhzfhysybryknnu5g_jki">
        <w:r>
          <w:rPr>
            <w:rStyle w:val="Hyperlink"/>
            <w:color w:val="0563C1"/>
            <w:sz w:val="20"/>
            <w:szCs w:val="20"/>
            <w:u w:val="single"/>
          </w:rPr>
          <w:t xml:space="preserve">Innovate UK Business Connect — Horizon Europe 2026-2027 Health Cluster overview</w:t>
        </w:r>
      </w:hyperlink>
    </w:p>
    <w:p>
      <w:pPr>
        <w:spacing w:after="60"/>
      </w:pPr>
      <w:r>
        <w:rPr>
          <w:color w:val="222222"/>
          <w:sz w:val="20"/>
          <w:szCs w:val="20"/>
        </w:rPr>
        <w:t xml:space="preserve">• </w:t>
      </w:r>
      <w:hyperlink w:history="1" r:id="rIddoqpijdg4ycfx69wdreav">
        <w:r>
          <w:rPr>
            <w:rStyle w:val="Hyperlink"/>
            <w:color w:val="0563C1"/>
            <w:sz w:val="20"/>
            <w:szCs w:val="20"/>
            <w:u w:val="single"/>
          </w:rPr>
          <w:t xml:space="preserve">HRB (Health Research Board) — EU funding updates incl. Health Cluster deadlines</w:t>
        </w:r>
      </w:hyperlink>
    </w:p>
    <w:p>
      <w:pPr>
        <w:spacing w:after="60"/>
      </w:pPr>
      <w:r>
        <w:rPr>
          <w:color w:val="222222"/>
          <w:sz w:val="20"/>
          <w:szCs w:val="20"/>
        </w:rPr>
        <w:t xml:space="preserve">• </w:t>
      </w:r>
      <w:hyperlink w:history="1" r:id="rIdxqobsqypodthuozx7r4jm">
        <w:r>
          <w:rPr>
            <w:rStyle w:val="Hyperlink"/>
            <w:color w:val="0563C1"/>
            <w:sz w:val="20"/>
            <w:szCs w:val="20"/>
            <w:u w:val="single"/>
          </w:rPr>
          <w:t xml:space="preserve">European Commission — EIC Accelerator official FAQ page</w:t>
        </w:r>
      </w:hyperlink>
    </w:p>
    <w:p>
      <w:pPr>
        <w:spacing w:after="60"/>
      </w:pPr>
      <w:r>
        <w:rPr>
          <w:color w:val="222222"/>
          <w:sz w:val="20"/>
          <w:szCs w:val="20"/>
        </w:rPr>
        <w:t xml:space="preserve">• </w:t>
      </w:r>
      <w:hyperlink w:history="1" r:id="rId6tk2tqazsq6bud7jbqj85">
        <w:r>
          <w:rPr>
            <w:rStyle w:val="Hyperlink"/>
            <w:color w:val="0563C1"/>
            <w:sz w:val="20"/>
            <w:szCs w:val="20"/>
            <w:u w:val="single"/>
          </w:rPr>
          <w:t xml:space="preserve">European Commission — EIC Accelerator funding opportunity page</w:t>
        </w:r>
      </w:hyperlink>
    </w:p>
    <w:p>
      <w:pPr>
        <w:spacing w:after="60"/>
      </w:pPr>
      <w:r>
        <w:rPr>
          <w:color w:val="222222"/>
          <w:sz w:val="20"/>
          <w:szCs w:val="20"/>
        </w:rPr>
        <w:t xml:space="preserve">• </w:t>
      </w:r>
      <w:hyperlink w:history="1" r:id="rIdmsmwckbpjg_baerrrnszy">
        <w:r>
          <w:rPr>
            <w:rStyle w:val="Hyperlink"/>
            <w:color w:val="0563C1"/>
            <w:sz w:val="20"/>
            <w:szCs w:val="20"/>
            <w:u w:val="single"/>
          </w:rPr>
          <w:t xml:space="preserve">EUACC — EIC Accelerator 2026 funding, eligibility, and how to apply</w:t>
        </w:r>
      </w:hyperlink>
    </w:p>
    <w:p>
      <w:pPr>
        <w:spacing w:after="60"/>
      </w:pPr>
      <w:r>
        <w:rPr>
          <w:color w:val="222222"/>
          <w:sz w:val="20"/>
          <w:szCs w:val="20"/>
        </w:rPr>
        <w:t xml:space="preserve">• </w:t>
      </w:r>
      <w:hyperlink w:history="1" r:id="rIdf5o2ga8xoitmx7jrnu2ls">
        <w:r>
          <w:rPr>
            <w:rStyle w:val="Hyperlink"/>
            <w:color w:val="0563C1"/>
            <w:sz w:val="20"/>
            <w:szCs w:val="20"/>
            <w:u w:val="single"/>
          </w:rPr>
          <w:t xml:space="preserve">Zabala — EIC Accelerator 2026 key updates, deadlines and process changes</w:t>
        </w:r>
      </w:hyperlink>
    </w:p>
    <w:p>
      <w:pPr>
        <w:spacing w:after="60"/>
      </w:pPr>
      <w:r>
        <w:rPr>
          <w:color w:val="222222"/>
          <w:sz w:val="20"/>
          <w:szCs w:val="20"/>
        </w:rPr>
        <w:t xml:space="preserve">• </w:t>
      </w:r>
      <w:hyperlink w:history="1" r:id="rId2qycthmxkv4xgjjvryze5">
        <w:r>
          <w:rPr>
            <w:rStyle w:val="Hyperlink"/>
            <w:color w:val="0563C1"/>
            <w:sz w:val="20"/>
            <w:szCs w:val="20"/>
            <w:u w:val="single"/>
          </w:rPr>
          <w:t xml:space="preserve">European Commission — EIC 2026 Work Programme overview</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7lumn6fpbsi-47g2wsxo" Type="http://schemas.openxmlformats.org/officeDocument/2006/relationships/hyperlink" Target="https://hadea.ec.europa.eu/news/2026-horizon-europe-health-calls-proposals-2026-02-12_en" TargetMode="External"/><Relationship Id="rIdmepq90oqlhqafn74ykutw" Type="http://schemas.openxmlformats.org/officeDocument/2006/relationships/hyperlink" Target="https://research-and-innovation.ec.europa.eu/document/download/36c7287d-d38f-4a96-94ca-0dfce1375a48_en" TargetMode="External"/><Relationship Id="rIdwhzfhysybryknnu5g_jki" Type="http://schemas.openxmlformats.org/officeDocument/2006/relationships/hyperlink" Target="https://iuk-business-connect.org.uk/opportunities/horizon-europe-2026-2027-health-cluster-1/" TargetMode="External"/><Relationship Id="rIddoqpijdg4ycfx69wdreav" Type="http://schemas.openxmlformats.org/officeDocument/2006/relationships/hyperlink" Target="https://www.hrb.ie/news-stories/eu-funding/eu-funding-updates/" TargetMode="External"/><Relationship Id="rIdxqobsqypodthuozx7r4jm" Type="http://schemas.openxmlformats.org/officeDocument/2006/relationships/hyperlink" Target="https://eic.ec.europa.eu/eic-frequently-asked-questions/faqs-eic-accelerator_en" TargetMode="External"/><Relationship Id="rId6tk2tqazsq6bud7jbqj85" Type="http://schemas.openxmlformats.org/officeDocument/2006/relationships/hyperlink" Target="https://eic.ec.europa.eu/eic-funding-opportunities/eic-accelerator_en" TargetMode="External"/><Relationship Id="rIdmsmwckbpjg_baerrrnszy" Type="http://schemas.openxmlformats.org/officeDocument/2006/relationships/hyperlink" Target="https://www.euacc.ai/programmes/eic-accelerator" TargetMode="External"/><Relationship Id="rIdf5o2ga8xoitmx7jrnu2ls" Type="http://schemas.openxmlformats.org/officeDocument/2006/relationships/hyperlink" Target="https://www.zabala.eu/news/eic-accelerator-2026-updates/" TargetMode="External"/><Relationship Id="rId2qycthmxkv4xgjjvryze5" Type="http://schemas.openxmlformats.org/officeDocument/2006/relationships/hyperlink" Target="https://eic.ec.europa.eu/eic-funding-opportunities/eic-2026-work-programme_e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2026-07-15T15:08:52.477Z</dcterms:created>
  <dcterms:modified xsi:type="dcterms:W3CDTF">2026-07-15T15:08:52.478Z</dcterms:modified>
</cp:coreProperties>
</file>

<file path=docProps/custom.xml><?xml version="1.0" encoding="utf-8"?>
<Properties xmlns="http://schemas.openxmlformats.org/officeDocument/2006/custom-properties" xmlns:vt="http://schemas.openxmlformats.org/officeDocument/2006/docPropsVTypes"/>
</file>