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20"/>
          <w:szCs w:val="20"/>
        </w:rPr>
        <w:t xml:space="preserve">bioERGOtech Foundation ETS</w:t>
      </w:r>
    </w:p>
    <w:p>
      <w:pPr>
        <w:pBdr>
          <w:bottom w:val="single" w:color="0E7C7B" w:sz="10" w:space="6"/>
        </w:pBdr>
        <w:spacing w:after="260"/>
      </w:pPr>
      <w:r>
        <w:rPr>
          <w:color w:val="555555"/>
          <w:sz w:val="18"/>
          <w:szCs w:val="18"/>
        </w:rPr>
        <w:t xml:space="preserve">Funding &amp; Grant Eligibility Reference — for Director review</w:t>
      </w:r>
    </w:p>
    <w:p>
      <w:pPr>
        <w:spacing w:after="60"/>
      </w:pPr>
      <w:r>
        <w:rPr>
          <w:b/>
          <w:bCs/>
          <w:color w:val="1B2A4A"/>
          <w:sz w:val="36"/>
          <w:szCs w:val="36"/>
        </w:rPr>
        <w:t xml:space="preserve">Mini-PIA — Pacchetti Integrati di Agevolazione</w:t>
      </w:r>
    </w:p>
    <w:p>
      <w:pPr>
        <w:spacing w:after="300"/>
      </w:pPr>
      <w:r>
        <w:rPr>
          <w:i/>
          <w:iCs/>
          <w:color w:val="555555"/>
          <w:sz w:val="22"/>
          <w:szCs w:val="22"/>
        </w:rPr>
        <w:t xml:space="preserve">Regione Puglia integrated aid package for micro and small enterprises (Titolo II Capo 2, PR Puglia FESR-FSE+ 2021–2027)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FF4E0" w:val="clear"/>
            <w:tcMar>
              <w:top w:type="dxa" w:w="140"/>
              <w:left w:type="dxa" w:w="160"/>
              <w:bottom w:type="dxa" w:w="140"/>
              <w:right w:type="dxa" w:w="160"/>
            </w:tcMar>
          </w:tcPr>
          <w:p>
            <w:pPr>
              <w:spacing w:after="40"/>
            </w:pPr>
            <w:r>
              <w:rPr>
                <w:b/>
                <w:bCs/>
                <w:color w:val="8A5A00"/>
                <w:sz w:val="20"/>
                <w:szCs w:val="20"/>
              </w:rPr>
              <w:t xml:space="preserve">STATUS AS OF THIS DOCUMENT (mid-2026): SUBMISSION WINDOW CURRENTLY SUSPENDED</w:t>
            </w:r>
          </w:p>
          <w:p>
            <w:r>
              <w:rPr>
                <w:color w:val="5A3D00"/>
                <w:sz w:val="20"/>
                <w:szCs w:val="20"/>
              </w:rPr>
              <w:t xml:space="preserve">As of a Regione Puglia resolution in March 2026 (window closed 3–4 March 2026), Mini-PIA, Mini-PIA Turismo, PIA, and PIA Turismo are NOT currently accepting new applications. Previously submitted applications continue to be processed. A reopening with updated criteria is anticipated but no confirmed date exists at time of writing. DO NOT present this scheme to Navigator users as "apply now" — if included at all before reopening, it should be framed as "currently paused, watch for reopening," or excluded from active navigator_rules until it reopens. Confirm live status before every use.</w:t>
            </w:r>
          </w:p>
        </w:tc>
      </w:tr>
    </w:tbl>
    <w:p>
      <w:pPr>
        <w:spacing w:after="200"/>
      </w:pPr>
    </w:p>
    <w:p>
      <w:pPr>
        <w:pStyle w:val="Heading1"/>
        <w:pBdr>
          <w:bottom w:val="single" w:color="0E7C7B" w:sz="6" w:space="4"/>
        </w:pBdr>
        <w:spacing w:after="140" w:before="320"/>
      </w:pPr>
      <w:r>
        <w:rPr>
          <w:b/>
          <w:bCs/>
          <w:color w:val="1B2A4A"/>
          <w:sz w:val="26"/>
          <w:szCs w:val="26"/>
        </w:rPr>
        <w:t xml:space="preserve">1. What it is</w:t>
      </w:r>
    </w:p>
    <w:p>
      <w:pPr>
        <w:spacing w:after="140" w:line="300"/>
      </w:pPr>
      <w:r>
        <w:rPr>
          <w:color w:val="222222"/>
          <w:sz w:val="22"/>
          <w:szCs w:val="22"/>
        </w:rPr>
        <w:t xml:space="preserve">Mini-PIA ("Pacchetti Integrati di Agevolazione" in reduced/small-scale form) is a Regione Puglia grant scheme, managed by Puglia Sviluppo S.p.A., supporting productive investment by micro and small enterprises tied to digitalisation and/or environmental sustainability, in line with the region's Smart Specialisation Strategy (S3). It sits within the same regulatory family as the larger PIA scheme (aimed at medium and larger investment programmes) but is scaled for smaller businesses and investment sizes.</w:t>
      </w:r>
    </w:p>
    <w:p>
      <w:pPr>
        <w:spacing w:after="140" w:line="300"/>
      </w:pPr>
      <w:r>
        <w:rPr>
          <w:color w:val="222222"/>
          <w:sz w:val="22"/>
          <w:szCs w:val="22"/>
        </w:rPr>
        <w:t xml:space="preserve">Legal basis: published on BURP (Bollettino Ufficiale della Regione Puglia) n. 12 of 8 February 2024, with subsequent updates via BURP n. 9 (30 July 2024), n. 17 supplement 1 (27 February 2025), n. 67 (21 August 2025), and n. 24 (26 March 2026).</w:t>
      </w:r>
    </w:p>
    <w:p>
      <w:pPr>
        <w:pStyle w:val="Heading1"/>
        <w:pBdr>
          <w:bottom w:val="single" w:color="0E7C7B" w:sz="6" w:space="4"/>
        </w:pBdr>
        <w:spacing w:after="140" w:before="320"/>
      </w:pPr>
      <w:r>
        <w:rPr>
          <w:b/>
          <w:bCs/>
          <w:color w:val="1B2A4A"/>
          <w:sz w:val="26"/>
          <w:szCs w:val="26"/>
        </w:rPr>
        <w:t xml:space="preserve">2. Who is eligible</w:t>
      </w:r>
    </w:p>
    <w:p>
      <w:pPr>
        <w:pStyle w:val="ListParagraph"/>
        <w:numPr>
          <w:ilvl w:val="0"/>
          <w:numId w:val="2"/>
        </w:numPr>
        <w:spacing w:after="80" w:line="290"/>
      </w:pPr>
      <w:r>
        <w:rPr>
          <w:color w:val="222222"/>
          <w:sz w:val="22"/>
          <w:szCs w:val="22"/>
        </w:rPr>
        <w:t xml:space="preserve">Micro and small enterprises, including small enterprises that qualify as "medium" only through shareholding/participation structures, not through their own size.</w:t>
      </w:r>
    </w:p>
    <w:p>
      <w:pPr>
        <w:pStyle w:val="ListParagraph"/>
        <w:numPr>
          <w:ilvl w:val="0"/>
          <w:numId w:val="2"/>
        </w:numPr>
        <w:spacing w:after="80" w:line="290"/>
      </w:pPr>
      <w:r>
        <w:rPr>
          <w:color w:val="222222"/>
          <w:sz w:val="22"/>
          <w:szCs w:val="22"/>
        </w:rPr>
        <w:t xml:space="preserve">Registered freelance professionals ("liberi professionisti") where the Avviso permits.</w:t>
      </w:r>
    </w:p>
    <w:p>
      <w:pPr>
        <w:pStyle w:val="ListParagraph"/>
        <w:numPr>
          <w:ilvl w:val="0"/>
          <w:numId w:val="2"/>
        </w:numPr>
        <w:spacing w:after="80" w:line="290"/>
      </w:pPr>
      <w:r>
        <w:rPr>
          <w:color w:val="222222"/>
          <w:sz w:val="22"/>
          <w:szCs w:val="22"/>
        </w:rPr>
        <w:t xml:space="preserve">Business must be legally established and registered in the Business Register, with an operating premises in Puglia (existing or committed to be opened).</w:t>
      </w:r>
    </w:p>
    <w:p>
      <w:pPr>
        <w:pStyle w:val="ListParagraph"/>
        <w:numPr>
          <w:ilvl w:val="0"/>
          <w:numId w:val="2"/>
        </w:numPr>
        <w:spacing w:after="80" w:line="290"/>
      </w:pPr>
      <w:r>
        <w:rPr>
          <w:color w:val="222222"/>
          <w:sz w:val="22"/>
          <w:szCs w:val="22"/>
        </w:rPr>
        <w:t xml:space="preserve">A dedicated Taranto-province line exists: per Regional Council Resolution (Delibera di Giunta) n. 916 of 27 June 2025, a specific PIA track was created exclusively for micro and small enterprises in the Province of Taranto, tied to Just Transition Fund objectives — worth flagging separately given the Foundation's Taranto base, though as of this writing it is unclear whether this Taranto-specific line is also covered by the general March 2026 suspension. Confirm current status of this specific track separately.</w:t>
      </w:r>
    </w:p>
    <w:p>
      <w:pPr>
        <w:pStyle w:val="Heading1"/>
        <w:pBdr>
          <w:bottom w:val="single" w:color="0E7C7B" w:sz="6" w:space="4"/>
        </w:pBdr>
        <w:spacing w:after="140" w:before="320"/>
      </w:pPr>
      <w:r>
        <w:rPr>
          <w:b/>
          <w:bCs/>
          <w:color w:val="1B2A4A"/>
          <w:sz w:val="26"/>
          <w:szCs w:val="26"/>
        </w:rPr>
        <w:t xml:space="preserve">3. What it funds</w:t>
      </w:r>
    </w:p>
    <w:p>
      <w:pPr>
        <w:spacing w:after="140" w:line="300"/>
      </w:pPr>
      <w:r>
        <w:rPr>
          <w:color w:val="222222"/>
          <w:sz w:val="22"/>
          <w:szCs w:val="22"/>
        </w:rPr>
        <w:t xml:space="preserve">Productive investment programmes centred on enabling technologies and innovation connected to digitalisation and/or environmental sustainability, which must be integrated with a technological, strategic, organisational, or managerial innovation project — i.e. Mini-PIA is not a pure equipment-purchase grant, it requires a genuine innovation component alongside the investment.</w:t>
      </w:r>
    </w:p>
    <w:p>
      <w:pPr>
        <w:pStyle w:val="ListParagraph"/>
        <w:numPr>
          <w:ilvl w:val="0"/>
          <w:numId w:val="2"/>
        </w:numPr>
        <w:spacing w:after="80" w:line="290"/>
      </w:pPr>
      <w:r>
        <w:rPr>
          <w:color w:val="222222"/>
          <w:sz w:val="22"/>
          <w:szCs w:val="22"/>
        </w:rPr>
        <w:t xml:space="preserve">Investment/cost range: minimum €30,000, maximum €5,000,000 in total eligible expenses and costs.</w:t>
      </w:r>
    </w:p>
    <w:p>
      <w:pPr>
        <w:pStyle w:val="ListParagraph"/>
        <w:numPr>
          <w:ilvl w:val="0"/>
          <w:numId w:val="2"/>
        </w:numPr>
        <w:spacing w:after="80" w:line="290"/>
      </w:pPr>
      <w:r>
        <w:rPr>
          <w:color w:val="222222"/>
          <w:sz w:val="22"/>
          <w:szCs w:val="22"/>
        </w:rPr>
        <w:t xml:space="preserve">"Innovation of processes and organisation" and "innovation for the benefit of SMEs" investment components are capped at €1,000,000 each within the overall envelope (confirm exact sub-caps on the current Avviso text, as these have been revised across the multiple BURP updates).</w:t>
      </w:r>
    </w:p>
    <w:p>
      <w:pPr>
        <w:pStyle w:val="ListParagraph"/>
        <w:numPr>
          <w:ilvl w:val="0"/>
          <w:numId w:val="2"/>
        </w:numPr>
        <w:spacing w:after="80" w:line="290"/>
      </w:pPr>
      <w:r>
        <w:rPr>
          <w:color w:val="222222"/>
          <w:sz w:val="22"/>
          <w:szCs w:val="22"/>
        </w:rPr>
        <w:t xml:space="preserve">Eligible expenses must not exceed 90% of the total integrated project.</w:t>
      </w:r>
    </w:p>
    <w:p>
      <w:pPr>
        <w:pStyle w:val="Heading1"/>
        <w:pBdr>
          <w:bottom w:val="single" w:color="0E7C7B" w:sz="6" w:space="4"/>
        </w:pBdr>
        <w:spacing w:after="140" w:before="320"/>
      </w:pPr>
      <w:r>
        <w:rPr>
          <w:b/>
          <w:bCs/>
          <w:color w:val="1B2A4A"/>
          <w:sz w:val="26"/>
          <w:szCs w:val="26"/>
        </w:rPr>
        <w:t xml:space="preserve">4. Funding amounts and structure</w:t>
      </w:r>
    </w:p>
    <w:p>
      <w:pPr>
        <w:pStyle w:val="ListParagraph"/>
        <w:numPr>
          <w:ilvl w:val="0"/>
          <w:numId w:val="2"/>
        </w:numPr>
        <w:spacing w:after="80" w:line="290"/>
      </w:pPr>
      <w:r>
        <w:rPr>
          <w:color w:val="222222"/>
          <w:sz w:val="22"/>
          <w:szCs w:val="22"/>
        </w:rPr>
        <w:t xml:space="preserve">Form of aid: non-repayable grant (contributo a fondo perduto).</w:t>
      </w:r>
    </w:p>
    <w:p>
      <w:pPr>
        <w:pStyle w:val="ListParagraph"/>
        <w:numPr>
          <w:ilvl w:val="0"/>
          <w:numId w:val="2"/>
        </w:numPr>
        <w:spacing w:after="80" w:line="290"/>
      </w:pPr>
      <w:r>
        <w:rPr>
          <w:color w:val="222222"/>
          <w:sz w:val="22"/>
          <w:szCs w:val="22"/>
        </w:rPr>
        <w:t xml:space="preserve">Grant intensity: variable, roughly 25%–50% of eligible capital expenditure depending on investment type and enterprise size, per the applicable regional aid map.</w:t>
      </w:r>
    </w:p>
    <w:p>
      <w:pPr>
        <w:pStyle w:val="ListParagraph"/>
        <w:numPr>
          <w:ilvl w:val="0"/>
          <w:numId w:val="2"/>
        </w:numPr>
        <w:spacing w:after="80" w:line="290"/>
      </w:pPr>
      <w:r>
        <w:rPr>
          <w:color w:val="222222"/>
          <w:sz w:val="22"/>
          <w:szCs w:val="22"/>
        </w:rPr>
        <w:t xml:space="preserve">An additional 10% "conto impianti" contribution can apply, calculated on the interest accrued on a bank loan associated with the investment.</w:t>
      </w:r>
    </w:p>
    <w:p>
      <w:pPr>
        <w:pStyle w:val="ListParagraph"/>
        <w:numPr>
          <w:ilvl w:val="0"/>
          <w:numId w:val="2"/>
        </w:numPr>
        <w:spacing w:after="80" w:line="290"/>
      </w:pPr>
      <w:r>
        <w:rPr>
          <w:color w:val="222222"/>
          <w:sz w:val="22"/>
          <w:szCs w:val="22"/>
        </w:rPr>
        <w:t xml:space="preserve">An additional 10% Gross Grant Equivalent (ESL) can apply to guarantee/counter-guarantee operations arranged through COFIDI or similar guarantee bodies.</w:t>
      </w:r>
    </w:p>
    <w:p>
      <w:pPr>
        <w:pStyle w:val="ListParagraph"/>
        <w:numPr>
          <w:ilvl w:val="0"/>
          <w:numId w:val="2"/>
        </w:numPr>
        <w:spacing w:after="80" w:line="290"/>
      </w:pPr>
      <w:r>
        <w:rPr>
          <w:color w:val="222222"/>
          <w:sz w:val="22"/>
          <w:szCs w:val="22"/>
        </w:rPr>
        <w:t xml:space="preserve">Minimum own-capital contribution: 25% of the investment, with a requirement to maintain the subsidised assets for at least 3 years after completion.</w:t>
      </w:r>
    </w:p>
    <w:p>
      <w:pPr>
        <w:pStyle w:val="ListParagraph"/>
        <w:numPr>
          <w:ilvl w:val="0"/>
          <w:numId w:val="2"/>
        </w:numPr>
        <w:spacing w:after="80" w:line="290"/>
      </w:pPr>
      <w:r>
        <w:rPr>
          <w:color w:val="222222"/>
          <w:sz w:val="22"/>
          <w:szCs w:val="22"/>
        </w:rPr>
        <w:t xml:space="preserve">Mandatory innovation-service component: at least one of the required innovation services ("innovazione dei processi" or "innovazione a favore delle PMI") must be delivered by an MIMIT-accredited certified body/incubator — this is a real procedural requirement, not optional paperwork.</w:t>
      </w:r>
    </w:p>
    <w:p>
      <w:pPr>
        <w:pStyle w:val="Heading1"/>
        <w:pBdr>
          <w:bottom w:val="single" w:color="0E7C7B" w:sz="6" w:space="4"/>
        </w:pBdr>
        <w:spacing w:after="140" w:before="320"/>
      </w:pPr>
      <w:r>
        <w:rPr>
          <w:b/>
          <w:bCs/>
          <w:color w:val="1B2A4A"/>
          <w:sz w:val="26"/>
          <w:szCs w:val="26"/>
        </w:rPr>
        <w:t xml:space="preserve">5. Sector notes</w:t>
      </w:r>
    </w:p>
    <w:p>
      <w:pPr>
        <w:spacing w:after="140" w:line="300"/>
      </w:pPr>
      <w:r>
        <w:rPr>
          <w:color w:val="222222"/>
          <w:sz w:val="22"/>
          <w:szCs w:val="22"/>
        </w:rPr>
        <w:t xml:space="preserve">A dedicated Mini-PIA Turismo variant exists for tourism-sector investments (accommodation facilities, beach establishments, campsites) with partially different requirements — relevant only if a contact's activity is explicitly tourism-facing, otherwise the general Mini-PIA applies.</w:t>
      </w:r>
    </w:p>
    <w:p>
      <w:pPr>
        <w:pStyle w:val="Heading1"/>
        <w:pBdr>
          <w:bottom w:val="single" w:color="0E7C7B" w:sz="6" w:space="4"/>
        </w:pBdr>
        <w:spacing w:after="140" w:before="320"/>
      </w:pPr>
      <w:r>
        <w:rPr>
          <w:b/>
          <w:bCs/>
          <w:color w:val="1B2A4A"/>
          <w:sz w:val="26"/>
          <w:szCs w:val="26"/>
        </w:rPr>
        <w:t xml:space="preserve">6. How to apply (when the window is open)</w:t>
      </w:r>
    </w:p>
    <w:p>
      <w:pPr>
        <w:pStyle w:val="ListParagraph"/>
        <w:numPr>
          <w:ilvl w:val="0"/>
          <w:numId w:val="2"/>
        </w:numPr>
        <w:spacing w:after="80" w:line="290"/>
      </w:pPr>
      <w:r>
        <w:rPr>
          <w:color w:val="222222"/>
          <w:sz w:val="22"/>
          <w:szCs w:val="22"/>
        </w:rPr>
        <w:t xml:space="preserve">Applications submitted via the PugliaSemplice portal.</w:t>
      </w:r>
    </w:p>
    <w:p>
      <w:pPr>
        <w:pStyle w:val="ListParagraph"/>
        <w:numPr>
          <w:ilvl w:val="0"/>
          <w:numId w:val="2"/>
        </w:numPr>
        <w:spacing w:after="80" w:line="290"/>
      </w:pPr>
      <w:r>
        <w:rPr>
          <w:color w:val="222222"/>
          <w:sz w:val="22"/>
          <w:szCs w:val="22"/>
        </w:rPr>
        <w:t xml:space="preserve">Effet-incentif rule: all expenses must be incurred AFTER the application submission date. Costs committed or paid before submission (including deposits) disqualify the entire investment programme from support, with a narrow exception for design/survey costs incurred up to 12 months before the application.</w:t>
      </w:r>
    </w:p>
    <w:p>
      <w:pPr>
        <w:pStyle w:val="ListParagraph"/>
        <w:numPr>
          <w:ilvl w:val="0"/>
          <w:numId w:val="2"/>
        </w:numPr>
        <w:spacing w:after="80" w:line="290"/>
      </w:pPr>
      <w:r>
        <w:rPr>
          <w:color w:val="222222"/>
          <w:sz w:val="22"/>
          <w:szCs w:val="22"/>
        </w:rPr>
        <w:t xml:space="preserve">Required documentation typically includes: a business plan in Puglia Sviluppo's required format with market analysis and technical-economic feasibility; at least 3 supplier quotes for any cost item above €30,000; a sworn technical survey for construction/complex plant work; de minimis and State Aid Map declarations covering aid received in the prior 3 financial years; and a valid DURC (contribution compliance certificate) at the time of application.</w:t>
      </w:r>
    </w:p>
    <w:p>
      <w:pPr>
        <w:pStyle w:val="ListParagraph"/>
        <w:numPr>
          <w:ilvl w:val="0"/>
          <w:numId w:val="2"/>
        </w:numPr>
        <w:spacing w:after="80" w:line="290"/>
      </w:pPr>
      <w:r>
        <w:rPr>
          <w:color w:val="222222"/>
          <w:sz w:val="22"/>
          <w:szCs w:val="22"/>
        </w:rPr>
        <w:t xml:space="preserve">For leased premises: a registered lease of at least 7 years from the completion of the investment programme is typically required (the common "5+5" arrangement).</w:t>
      </w:r>
    </w:p>
    <w:p>
      <w:pPr>
        <w:pStyle w:val="Heading1"/>
        <w:pBdr>
          <w:bottom w:val="single" w:color="0E7C7B" w:sz="6" w:space="4"/>
        </w:pBdr>
        <w:spacing w:after="140" w:before="320"/>
      </w:pPr>
      <w:r>
        <w:rPr>
          <w:b/>
          <w:bCs/>
          <w:color w:val="1B2A4A"/>
          <w:sz w:val="26"/>
          <w:szCs w:val="26"/>
        </w:rPr>
        <w:t xml:space="preserve">7. What is NOT eligible</w:t>
      </w:r>
    </w:p>
    <w:p>
      <w:pPr>
        <w:pStyle w:val="ListParagraph"/>
        <w:numPr>
          <w:ilvl w:val="0"/>
          <w:numId w:val="2"/>
        </w:numPr>
        <w:spacing w:after="80" w:line="290"/>
      </w:pPr>
      <w:r>
        <w:rPr>
          <w:color w:val="222222"/>
          <w:sz w:val="22"/>
          <w:szCs w:val="22"/>
        </w:rPr>
        <w:t xml:space="preserve">Investment programmes below €30,000 or above €5,000,000 in total eligible cost.</w:t>
      </w:r>
    </w:p>
    <w:p>
      <w:pPr>
        <w:pStyle w:val="ListParagraph"/>
        <w:numPr>
          <w:ilvl w:val="0"/>
          <w:numId w:val="2"/>
        </w:numPr>
        <w:spacing w:after="80" w:line="290"/>
      </w:pPr>
      <w:r>
        <w:rPr>
          <w:color w:val="222222"/>
          <w:sz w:val="22"/>
          <w:szCs w:val="22"/>
        </w:rPr>
        <w:t xml:space="preserve">Expenses incurred before the application submission date (see effet-incentif rule above), beyond the narrow design/survey exception.</w:t>
      </w:r>
    </w:p>
    <w:p>
      <w:pPr>
        <w:pStyle w:val="ListParagraph"/>
        <w:numPr>
          <w:ilvl w:val="0"/>
          <w:numId w:val="2"/>
        </w:numPr>
        <w:spacing w:after="80" w:line="290"/>
      </w:pPr>
      <w:r>
        <w:rPr>
          <w:color w:val="222222"/>
          <w:sz w:val="22"/>
          <w:szCs w:val="22"/>
        </w:rPr>
        <w:t xml:space="preserve">Businesses without the required certified-body innovation service component.</w:t>
      </w:r>
    </w:p>
    <w:p>
      <w:pPr>
        <w:pStyle w:val="Heading1"/>
        <w:pBdr>
          <w:bottom w:val="single" w:color="0E7C7B" w:sz="6" w:space="4"/>
        </w:pBdr>
        <w:spacing w:after="140" w:before="320"/>
      </w:pPr>
      <w:r>
        <w:rPr>
          <w:b/>
          <w:bCs/>
          <w:color w:val="1B2A4A"/>
          <w:sz w:val="26"/>
          <w:szCs w:val="26"/>
        </w:rPr>
        <w:t xml:space="preserve">8. Suggested Navigator rule mapping</w:t>
      </w:r>
    </w:p>
    <w:p>
      <w:pPr>
        <w:spacing w:after="140" w:line="300"/>
      </w:pPr>
      <w:r>
        <w:rPr>
          <w:color w:val="222222"/>
          <w:sz w:val="22"/>
          <w:szCs w:val="22"/>
        </w:rPr>
        <w:t xml:space="preserve">Given the current suspension, the safest immediate action is to EXCLUDE Mini-PIA from active navigator_rules until the scheme formally reopens, rather than risk telling a visitor they can apply today. Once reopened, this maps to org_type = 'startup' (small enterprises), region = 'Puglia' (more specific than country-level — again suggesting the Navigator's region question may need a province/region-level follow-up for Italian visitors), with a note flagging the certified-innovation-body requirement as a practical prerequisite worth mentioning in the results copy, not just the funding percentage.</w:t>
      </w:r>
    </w:p>
    <w:p>
      <w:pPr>
        <w:pStyle w:val="Heading1"/>
        <w:pBdr>
          <w:bottom w:val="single" w:color="0E7C7B" w:sz="6" w:space="4"/>
        </w:pBdr>
        <w:spacing w:after="140" w:before="320"/>
      </w:pPr>
      <w:r>
        <w:rPr>
          <w:b/>
          <w:bCs/>
          <w:color w:val="1B2A4A"/>
          <w:sz w:val="26"/>
          <w:szCs w:val="26"/>
        </w:rPr>
        <w:t xml:space="preserve">9. Sources</w:t>
      </w:r>
    </w:p>
    <w:p>
      <w:pPr>
        <w:spacing w:after="60"/>
      </w:pPr>
      <w:r>
        <w:rPr>
          <w:color w:val="222222"/>
          <w:sz w:val="20"/>
          <w:szCs w:val="20"/>
        </w:rPr>
        <w:t xml:space="preserve">• </w:t>
      </w:r>
      <w:hyperlink w:history="1" r:id="rId8uvuhirmsth420mafyynl">
        <w:r>
          <w:rPr>
            <w:rStyle w:val="Hyperlink"/>
            <w:color w:val="0563C1"/>
            <w:sz w:val="20"/>
            <w:szCs w:val="20"/>
            <w:u w:val="single"/>
          </w:rPr>
          <w:t xml:space="preserve">Regione Puglia — Mini-PIA official Avviso page</w:t>
        </w:r>
      </w:hyperlink>
    </w:p>
    <w:p>
      <w:pPr>
        <w:spacing w:after="60"/>
      </w:pPr>
      <w:r>
        <w:rPr>
          <w:color w:val="222222"/>
          <w:sz w:val="20"/>
          <w:szCs w:val="20"/>
        </w:rPr>
        <w:t xml:space="preserve">• </w:t>
      </w:r>
      <w:hyperlink w:history="1" r:id="rIdqig0vrkehrvbfc99fxxmt">
        <w:r>
          <w:rPr>
            <w:rStyle w:val="Hyperlink"/>
            <w:color w:val="0563C1"/>
            <w:sz w:val="20"/>
            <w:szCs w:val="20"/>
            <w:u w:val="single"/>
          </w:rPr>
          <w:t xml:space="preserve">Feeda — Mini-PIA guide (incl. March 2026 suspension notice)</w:t>
        </w:r>
      </w:hyperlink>
    </w:p>
    <w:p>
      <w:pPr>
        <w:spacing w:after="60"/>
      </w:pPr>
      <w:r>
        <w:rPr>
          <w:color w:val="222222"/>
          <w:sz w:val="20"/>
          <w:szCs w:val="20"/>
        </w:rPr>
        <w:t xml:space="preserve">• </w:t>
      </w:r>
      <w:hyperlink w:history="1" r:id="rIdllgqocqi3qxvuny4sr3s0">
        <w:r>
          <w:rPr>
            <w:rStyle w:val="Hyperlink"/>
            <w:color w:val="0563C1"/>
            <w:sz w:val="20"/>
            <w:szCs w:val="20"/>
            <w:u w:val="single"/>
          </w:rPr>
          <w:t xml:space="preserve">SprintX — Mini-PIA Puglia guide, requirements and grant structure</w:t>
        </w:r>
      </w:hyperlink>
    </w:p>
    <w:p>
      <w:pPr>
        <w:spacing w:after="60"/>
      </w:pPr>
      <w:r>
        <w:rPr>
          <w:color w:val="222222"/>
          <w:sz w:val="20"/>
          <w:szCs w:val="20"/>
        </w:rPr>
        <w:t xml:space="preserve">• </w:t>
      </w:r>
      <w:hyperlink w:history="1" r:id="rIdau4ucl-urqsv25palxpvi">
        <w:r>
          <w:rPr>
            <w:rStyle w:val="Hyperlink"/>
            <w:color w:val="0563C1"/>
            <w:sz w:val="20"/>
            <w:szCs w:val="20"/>
            <w:u w:val="single"/>
          </w:rPr>
          <w:t xml:space="preserve">Incentivimpresa — Mini-PIA Puglia 2026, suspended-window operational guide</w:t>
        </w:r>
      </w:hyperlink>
    </w:p>
    <w:p>
      <w:pPr>
        <w:spacing w:after="60"/>
      </w:pPr>
      <w:r>
        <w:rPr>
          <w:color w:val="222222"/>
          <w:sz w:val="20"/>
          <w:szCs w:val="20"/>
        </w:rPr>
        <w:t xml:space="preserve">• </w:t>
      </w:r>
      <w:hyperlink w:history="1" r:id="rIdtecdhwjvndo2asjb-muzv">
        <w:r>
          <w:rPr>
            <w:rStyle w:val="Hyperlink"/>
            <w:color w:val="0563C1"/>
            <w:sz w:val="20"/>
            <w:szCs w:val="20"/>
            <w:u w:val="single"/>
          </w:rPr>
          <w:t xml:space="preserve">Incentivalab — Regione Puglia MiniPIA overview and beneficiary categories</w:t>
        </w:r>
      </w:hyperlink>
    </w:p>
    <w:p>
      <w:pPr>
        <w:spacing w:after="60"/>
      </w:pPr>
      <w:r>
        <w:rPr>
          <w:color w:val="222222"/>
          <w:sz w:val="20"/>
          <w:szCs w:val="20"/>
        </w:rPr>
        <w:t xml:space="preserve">• </w:t>
      </w:r>
      <w:hyperlink w:history="1" r:id="rIdhexwbfuszga5ujtunqi0q">
        <w:r>
          <w:rPr>
            <w:rStyle w:val="Hyperlink"/>
            <w:color w:val="0563C1"/>
            <w:sz w:val="20"/>
            <w:szCs w:val="20"/>
            <w:u w:val="single"/>
          </w:rPr>
          <w:t xml:space="preserve">Feeda — PIA Piccole Imprese guide (incl. Taranto-specific PIA line reference)</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uvuhirmsth420mafyynl" Type="http://schemas.openxmlformats.org/officeDocument/2006/relationships/hyperlink" Target="https://www.regione.puglia.it/web/competitivita-e-innovazione/-/mini-pia-pacchetti-integrati-di-agevolazione-avviso-pubblico" TargetMode="External"/><Relationship Id="rIdqig0vrkehrvbfc99fxxmt" Type="http://schemas.openxmlformats.org/officeDocument/2006/relationships/hyperlink" Target="https://www.feeda.it/bandi-aperti/bando-minipia-regione-puglia-cose-cosa-finanzia-e-come-accedervi/" TargetMode="External"/><Relationship Id="rIdllgqocqi3qxvuny4sr3s0" Type="http://schemas.openxmlformats.org/officeDocument/2006/relationships/hyperlink" Target="https://sprintx.it/blog/minipia-regione-puglia-finanziamento-startup-pmi/" TargetMode="External"/><Relationship Id="rIdau4ucl-urqsv25palxpvi" Type="http://schemas.openxmlformats.org/officeDocument/2006/relationships/hyperlink" Target="https://www.incentivimpresa.it/mini-pia-puglia-2026-pmi-sud/" TargetMode="External"/><Relationship Id="rIdtecdhwjvndo2asjb-muzv" Type="http://schemas.openxmlformats.org/officeDocument/2006/relationships/hyperlink" Target="https://incentivalab.it/bando/509/regione-puglia-minipia" TargetMode="External"/><Relationship Id="rIdhexwbfuszga5ujtunqi0q" Type="http://schemas.openxmlformats.org/officeDocument/2006/relationships/hyperlink" Target="https://www.feeda.it/bandi-aperti/pia-piccole-impres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2026-07-15T15:07:20.537Z</dcterms:created>
  <dcterms:modified xsi:type="dcterms:W3CDTF">2026-07-15T15:07:20.539Z</dcterms:modified>
</cp:coreProperties>
</file>

<file path=docProps/custom.xml><?xml version="1.0" encoding="utf-8"?>
<Properties xmlns="http://schemas.openxmlformats.org/officeDocument/2006/custom-properties" xmlns:vt="http://schemas.openxmlformats.org/officeDocument/2006/docPropsVTypes"/>
</file>