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2A4A"/>
          <w:sz w:val="20"/>
          <w:szCs w:val="20"/>
        </w:rPr>
        <w:t xml:space="preserve">bioERGOtech Foundation ETS</w:t>
      </w:r>
    </w:p>
    <w:p>
      <w:pPr>
        <w:pBdr>
          <w:bottom w:val="single" w:color="0E7C7B" w:sz="10" w:space="6"/>
        </w:pBdr>
        <w:spacing w:after="260"/>
      </w:pPr>
      <w:r>
        <w:rPr>
          <w:color w:val="555555"/>
          <w:sz w:val="18"/>
          <w:szCs w:val="18"/>
        </w:rPr>
        <w:t xml:space="preserve">Funding &amp; Grant Eligibility Reference — for Director review</w:t>
      </w:r>
    </w:p>
    <w:p>
      <w:pPr>
        <w:spacing w:after="60"/>
      </w:pPr>
      <w:r>
        <w:rPr>
          <w:b/>
          <w:bCs/>
          <w:color w:val="1B2A4A"/>
          <w:sz w:val="36"/>
          <w:szCs w:val="36"/>
        </w:rPr>
        <w:t xml:space="preserve">PIA — Programmi Integrati di Agevolazioni</w:t>
      </w:r>
    </w:p>
    <w:p>
      <w:pPr>
        <w:spacing w:after="300"/>
      </w:pPr>
      <w:r>
        <w:rPr>
          <w:i/>
          <w:iCs/>
          <w:color w:val="555555"/>
          <w:sz w:val="22"/>
          <w:szCs w:val="22"/>
        </w:rPr>
        <w:t xml:space="preserve">Regione Puglia's larger-scale investment aid package for medium and structured small enterprises (distinct from Mini-PIA)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FF4E0" w:val="clear"/>
            <w:tcMar>
              <w:top w:type="dxa" w:w="140"/>
              <w:left w:type="dxa" w:w="160"/>
              <w:bottom w:type="dxa" w:w="140"/>
              <w:right w:type="dxa" w:w="160"/>
            </w:tcMar>
          </w:tcPr>
          <w:p>
            <w:pPr>
              <w:spacing w:after="40"/>
            </w:pPr>
            <w:r>
              <w:rPr>
                <w:b/>
                <w:bCs/>
                <w:color w:val="8A5A00"/>
                <w:sz w:val="20"/>
                <w:szCs w:val="20"/>
              </w:rPr>
              <w:t xml:space="preserve">STATUS AS OF THIS DOCUMENT (mid-2026) — TWO DIFFERENT STATUSES, READ CAREFULLY</w:t>
            </w:r>
          </w:p>
          <w:p>
            <w:r>
              <w:rPr>
                <w:color w:val="5A3D00"/>
                <w:sz w:val="20"/>
                <w:szCs w:val="20"/>
              </w:rPr>
              <w:t xml:space="preserve">ORDINARY PIA (region-wide) has been SUSPENDED for new applications since 3 March 2026 (Delibera di Giunta Regionale n. 176/2026), due to demand (~€2.6 billion requested) exceeding available funds. Previously submitted applications continue to be processed. HOWEVER, PIA TARANTO — a separate, Just Transition Fund-financed line for the Province of Taranto specifically — has been open on a rolling basis since 5 July 2025 (DGR 916/2025) and, as of the most recent sources checked, remains open DESPITE the general suspension. This is the more important row of the two for the Foundation's Taranto-based outreach. Verify both statuses independently before quoting either — do not assume one status applies to both.</w:t>
            </w:r>
          </w:p>
        </w:tc>
      </w:tr>
    </w:tbl>
    <w:p>
      <w:pPr>
        <w:spacing w:after="200"/>
      </w:pPr>
    </w:p>
    <w:p>
      <w:pPr>
        <w:pStyle w:val="Heading1"/>
        <w:pBdr>
          <w:bottom w:val="single" w:color="0E7C7B" w:sz="6" w:space="4"/>
        </w:pBdr>
        <w:spacing w:after="140" w:before="320"/>
      </w:pPr>
      <w:r>
        <w:rPr>
          <w:b/>
          <w:bCs/>
          <w:color w:val="1B2A4A"/>
          <w:sz w:val="26"/>
          <w:szCs w:val="26"/>
        </w:rPr>
        <w:t xml:space="preserve">PART A — Ordinary PIA (region-wide, currently suspended)</w:t>
      </w:r>
    </w:p>
    <w:p>
      <w:pPr>
        <w:spacing w:after="100" w:before="220"/>
      </w:pPr>
      <w:r>
        <w:rPr>
          <w:b/>
          <w:bCs/>
          <w:color w:val="0E7C7B"/>
          <w:sz w:val="22"/>
          <w:szCs w:val="22"/>
        </w:rPr>
        <w:t xml:space="preserve">1. What it is</w:t>
      </w:r>
    </w:p>
    <w:p>
      <w:pPr>
        <w:spacing w:after="140" w:line="300"/>
      </w:pPr>
      <w:r>
        <w:rPr>
          <w:color w:val="222222"/>
          <w:sz w:val="22"/>
          <w:szCs w:val="22"/>
        </w:rPr>
        <w:t xml:space="preserve">PIA ("Programmi Integrati di Agevolazioni") is Regione Puglia's larger-scale counterpart to Mini-PIA, aimed at medium enterprises and more structured small enterprises undertaking bigger, often R&amp;D-inclusive investment programmes. It is managed by Puglia Sviluppo S.p.A. and was originally published on BURP n. 112 of 21 December 2023, updated through multiple 2024–2025 determinations.</w:t>
      </w:r>
    </w:p>
    <w:p>
      <w:pPr>
        <w:spacing w:after="140" w:line="300"/>
      </w:pPr>
      <w:r>
        <w:rPr>
          <w:color w:val="222222"/>
          <w:sz w:val="22"/>
          <w:szCs w:val="22"/>
        </w:rPr>
        <w:t xml:space="preserve">Total regional allocation for the PIA Piccole Imprese track: €55 million under the PR Puglia FESR-FSE+ 2021–2027 programme.</w:t>
      </w:r>
    </w:p>
    <w:p>
      <w:pPr>
        <w:spacing w:after="100" w:before="220"/>
      </w:pPr>
      <w:r>
        <w:rPr>
          <w:b/>
          <w:bCs/>
          <w:color w:val="0E7C7B"/>
          <w:sz w:val="22"/>
          <w:szCs w:val="22"/>
        </w:rPr>
        <w:t xml:space="preserve">2. Who is eligible (ordinary PIA)</w:t>
      </w:r>
    </w:p>
    <w:p>
      <w:pPr>
        <w:pStyle w:val="ListParagraph"/>
        <w:numPr>
          <w:ilvl w:val="0"/>
          <w:numId w:val="2"/>
        </w:numPr>
        <w:spacing w:after="80" w:line="290"/>
      </w:pPr>
      <w:r>
        <w:rPr>
          <w:color w:val="222222"/>
          <w:sz w:val="22"/>
          <w:szCs w:val="22"/>
        </w:rPr>
        <w:t xml:space="preserve">Medium enterprises with at least 2 approved financial statements (bilanci approvati).</w:t>
      </w:r>
    </w:p>
    <w:p>
      <w:pPr>
        <w:pStyle w:val="ListParagraph"/>
        <w:numPr>
          <w:ilvl w:val="0"/>
          <w:numId w:val="2"/>
        </w:numPr>
        <w:spacing w:after="80" w:line="290"/>
      </w:pPr>
      <w:r>
        <w:rPr>
          <w:color w:val="222222"/>
          <w:sz w:val="22"/>
          <w:szCs w:val="22"/>
        </w:rPr>
        <w:t xml:space="preserve">Small enterprises with average turnover over the last 3 years of at least €1 million.</w:t>
      </w:r>
    </w:p>
    <w:p>
      <w:pPr>
        <w:pStyle w:val="ListParagraph"/>
        <w:numPr>
          <w:ilvl w:val="0"/>
          <w:numId w:val="2"/>
        </w:numPr>
        <w:spacing w:after="80" w:line="290"/>
      </w:pPr>
      <w:r>
        <w:rPr>
          <w:color w:val="222222"/>
          <w:sz w:val="22"/>
          <w:szCs w:val="22"/>
        </w:rPr>
        <w:t xml:space="preserve">Innovative enterprises and innovative startups joining a PIA project alongside qualifying medium/small enterprises (categories above).</w:t>
      </w:r>
    </w:p>
    <w:p>
      <w:pPr>
        <w:pStyle w:val="ListParagraph"/>
        <w:numPr>
          <w:ilvl w:val="0"/>
          <w:numId w:val="2"/>
        </w:numPr>
        <w:spacing w:after="80" w:line="290"/>
      </w:pPr>
      <w:r>
        <w:rPr>
          <w:color w:val="222222"/>
          <w:sz w:val="22"/>
          <w:szCs w:val="22"/>
        </w:rPr>
        <w:t xml:space="preserve">Innovative enterprises and startups applying STANDALONE, but only if: they have already completed an R&amp;D project with lab-validated technology; OR they can demonstrate own-funds contribution for prototype industrialisation; OR they have completed a TecnoNidi project tied to one of the above.</w:t>
      </w:r>
    </w:p>
    <w:p>
      <w:pPr>
        <w:pStyle w:val="ListParagraph"/>
        <w:numPr>
          <w:ilvl w:val="0"/>
          <w:numId w:val="2"/>
        </w:numPr>
        <w:spacing w:after="80" w:line="290"/>
      </w:pPr>
      <w:r>
        <w:rPr>
          <w:color w:val="222222"/>
          <w:sz w:val="22"/>
          <w:szCs w:val="22"/>
        </w:rPr>
        <w:t xml:space="preserve">Companies controlled by qualifying medium/small enterprises, which take on PIA responsibility on their behalf.</w:t>
      </w:r>
    </w:p>
    <w:p>
      <w:pPr>
        <w:spacing w:after="140" w:line="300"/>
      </w:pPr>
      <w:r>
        <w:rPr>
          <w:color w:val="222222"/>
          <w:sz w:val="22"/>
          <w:szCs w:val="22"/>
        </w:rPr>
        <w:t xml:space="preserve">This eligibility structure is notably more restrictive than Mini-PIA or NIDI — PIA generally requires an established enterprise with a financial track record, not an idea-stage or brand-new entity, EXCEPT via the standalone-innovative-startup route above, which does allow a sufficiently advanced startup to apply alone.</w:t>
      </w:r>
    </w:p>
    <w:p>
      <w:pPr>
        <w:spacing w:after="100" w:before="220"/>
      </w:pPr>
      <w:r>
        <w:rPr>
          <w:b/>
          <w:bCs/>
          <w:color w:val="0E7C7B"/>
          <w:sz w:val="22"/>
          <w:szCs w:val="22"/>
        </w:rPr>
        <w:t xml:space="preserve">3. What it funds and how much</w:t>
      </w:r>
    </w:p>
    <w:p>
      <w:pPr>
        <w:spacing w:after="140" w:line="300"/>
      </w:pPr>
      <w:r>
        <w:rPr>
          <w:color w:val="222222"/>
          <w:sz w:val="22"/>
          <w:szCs w:val="22"/>
        </w:rPr>
        <w:t xml:space="preserve">A PIA project centres on an Industrial Research and Experimental Development programme (up to €40 million), which can be integrated with additional components:</w:t>
      </w:r>
    </w:p>
    <w:p>
      <w:pPr>
        <w:pStyle w:val="ListParagraph"/>
        <w:numPr>
          <w:ilvl w:val="0"/>
          <w:numId w:val="2"/>
        </w:numPr>
        <w:spacing w:after="80" w:line="290"/>
      </w:pPr>
      <w:r>
        <w:rPr>
          <w:color w:val="222222"/>
          <w:sz w:val="22"/>
          <w:szCs w:val="22"/>
        </w:rPr>
        <w:t xml:space="preserve">Innovation for the benefit of SMEs (up to €3 million) / Innovation of processes and organisation (up to €5 million).</w:t>
      </w:r>
    </w:p>
    <w:p>
      <w:pPr>
        <w:pStyle w:val="ListParagraph"/>
        <w:numPr>
          <w:ilvl w:val="0"/>
          <w:numId w:val="2"/>
        </w:numPr>
        <w:spacing w:after="80" w:line="290"/>
      </w:pPr>
      <w:r>
        <w:rPr>
          <w:color w:val="222222"/>
          <w:sz w:val="22"/>
          <w:szCs w:val="22"/>
        </w:rPr>
        <w:t xml:space="preserve">Productive investments tied to an "initial investment" as defined under State Aid rules.</w:t>
      </w:r>
    </w:p>
    <w:p>
      <w:pPr>
        <w:pStyle w:val="ListParagraph"/>
        <w:numPr>
          <w:ilvl w:val="0"/>
          <w:numId w:val="2"/>
        </w:numPr>
        <w:spacing w:after="80" w:line="290"/>
      </w:pPr>
      <w:r>
        <w:rPr>
          <w:color w:val="222222"/>
          <w:sz w:val="22"/>
          <w:szCs w:val="22"/>
        </w:rPr>
        <w:t xml:space="preserve">Training projects (up to €2 million).</w:t>
      </w:r>
    </w:p>
    <w:p>
      <w:pPr>
        <w:pStyle w:val="ListParagraph"/>
        <w:numPr>
          <w:ilvl w:val="0"/>
          <w:numId w:val="2"/>
        </w:numPr>
        <w:spacing w:after="80" w:line="290"/>
      </w:pPr>
      <w:r>
        <w:rPr>
          <w:color w:val="222222"/>
          <w:sz w:val="22"/>
          <w:szCs w:val="22"/>
        </w:rPr>
        <w:t xml:space="preserve">Environmental protection, energy efficiency, and alternative energy investments (up to €10 million).</w:t>
      </w:r>
    </w:p>
    <w:p>
      <w:pPr>
        <w:pStyle w:val="ListParagraph"/>
        <w:numPr>
          <w:ilvl w:val="0"/>
          <w:numId w:val="2"/>
        </w:numPr>
        <w:spacing w:after="80" w:line="290"/>
      </w:pPr>
      <w:r>
        <w:rPr>
          <w:color w:val="222222"/>
          <w:sz w:val="22"/>
          <w:szCs w:val="22"/>
        </w:rPr>
        <w:t xml:space="preserve">Specialist consultancy, internationalisation programmes, and trade fair participation (up to €0.5 million each).</w:t>
      </w:r>
    </w:p>
    <w:p>
      <w:pPr>
        <w:spacing w:after="100" w:before="220"/>
      </w:pPr>
      <w:r>
        <w:rPr>
          <w:b/>
          <w:bCs/>
          <w:color w:val="0E7C7B"/>
          <w:sz w:val="22"/>
          <w:szCs w:val="22"/>
        </w:rPr>
        <w:t xml:space="preserve">Aid intensities (% of eligible costs, ordinary PIA)</w:t>
      </w:r>
    </w:p>
    <w:p>
      <w:pPr>
        <w:pStyle w:val="ListParagraph"/>
        <w:numPr>
          <w:ilvl w:val="0"/>
          <w:numId w:val="2"/>
        </w:numPr>
        <w:spacing w:after="80" w:line="290"/>
      </w:pPr>
      <w:r>
        <w:rPr>
          <w:color w:val="222222"/>
          <w:sz w:val="22"/>
          <w:szCs w:val="22"/>
        </w:rPr>
        <w:t xml:space="preserve">Industrial Research: up to 60% (medium enterprises) / 70% (small enterprises); can rise a further 15 points (to a maximum of 80%) with genuine collaboration between enterprises or with a research body.</w:t>
      </w:r>
    </w:p>
    <w:p>
      <w:pPr>
        <w:pStyle w:val="ListParagraph"/>
        <w:numPr>
          <w:ilvl w:val="0"/>
          <w:numId w:val="2"/>
        </w:numPr>
        <w:spacing w:after="80" w:line="290"/>
      </w:pPr>
      <w:r>
        <w:rPr>
          <w:color w:val="222222"/>
          <w:sz w:val="22"/>
          <w:szCs w:val="22"/>
        </w:rPr>
        <w:t xml:space="preserve">Experimental Development: up to 35% (medium) / 45% (small), with the same collaboration-based +15-point uplift available.</w:t>
      </w:r>
    </w:p>
    <w:p>
      <w:pPr>
        <w:pStyle w:val="ListParagraph"/>
        <w:numPr>
          <w:ilvl w:val="0"/>
          <w:numId w:val="2"/>
        </w:numPr>
        <w:spacing w:after="80" w:line="290"/>
      </w:pPr>
      <w:r>
        <w:rPr>
          <w:color w:val="222222"/>
          <w:sz w:val="22"/>
          <w:szCs w:val="22"/>
        </w:rPr>
        <w:t xml:space="preserve">Innovation for SMEs: up to 50%. Innovation of processes/organisation: up to 50%.</w:t>
      </w:r>
    </w:p>
    <w:p>
      <w:pPr>
        <w:pStyle w:val="ListParagraph"/>
        <w:numPr>
          <w:ilvl w:val="0"/>
          <w:numId w:val="2"/>
        </w:numPr>
        <w:spacing w:after="80" w:line="290"/>
      </w:pPr>
      <w:r>
        <w:rPr>
          <w:color w:val="222222"/>
          <w:sz w:val="22"/>
          <w:szCs w:val="22"/>
        </w:rPr>
        <w:t xml:space="preserve">Productive investments: up to 40% (medium) / 50% (small); a further +10% is possible where premialità (bonus) criteria are met.</w:t>
      </w:r>
    </w:p>
    <w:p>
      <w:pPr>
        <w:pStyle w:val="ListParagraph"/>
        <w:numPr>
          <w:ilvl w:val="0"/>
          <w:numId w:val="2"/>
        </w:numPr>
        <w:spacing w:after="80" w:line="290"/>
      </w:pPr>
      <w:r>
        <w:rPr>
          <w:color w:val="222222"/>
          <w:sz w:val="22"/>
          <w:szCs w:val="22"/>
        </w:rPr>
        <w:t xml:space="preserve">Training projects: up to 60% (medium) / 70% (small).</w:t>
      </w:r>
    </w:p>
    <w:p>
      <w:pPr>
        <w:pStyle w:val="ListParagraph"/>
        <w:numPr>
          <w:ilvl w:val="0"/>
          <w:numId w:val="2"/>
        </w:numPr>
        <w:spacing w:after="80" w:line="290"/>
      </w:pPr>
      <w:r>
        <w:rPr>
          <w:color w:val="222222"/>
          <w:sz w:val="22"/>
          <w:szCs w:val="22"/>
        </w:rPr>
        <w:t xml:space="preserve">Environmental protection and energy efficiency: up to 55% (medium) / 65% (small).</w:t>
      </w:r>
    </w:p>
    <w:p>
      <w:pPr>
        <w:pStyle w:val="ListParagraph"/>
        <w:numPr>
          <w:ilvl w:val="0"/>
          <w:numId w:val="2"/>
        </w:numPr>
        <w:spacing w:after="80" w:line="290"/>
      </w:pPr>
      <w:r>
        <w:rPr>
          <w:color w:val="222222"/>
          <w:sz w:val="22"/>
          <w:szCs w:val="22"/>
        </w:rPr>
        <w:t xml:space="preserve">Specialist consultancy, internationalisation, trade fairs: up to 50%.</w:t>
      </w:r>
    </w:p>
    <w:p>
      <w:pPr>
        <w:spacing w:after="100" w:before="220"/>
      </w:pPr>
      <w:r>
        <w:rPr>
          <w:b/>
          <w:bCs/>
          <w:color w:val="0E7C7B"/>
          <w:sz w:val="22"/>
          <w:szCs w:val="22"/>
        </w:rPr>
        <w:t xml:space="preserve">4. Investment thresholds</w:t>
      </w:r>
    </w:p>
    <w:p>
      <w:pPr>
        <w:pStyle w:val="ListParagraph"/>
        <w:numPr>
          <w:ilvl w:val="0"/>
          <w:numId w:val="2"/>
        </w:numPr>
        <w:spacing w:after="80" w:line="290"/>
      </w:pPr>
      <w:r>
        <w:rPr>
          <w:color w:val="222222"/>
          <w:sz w:val="22"/>
          <w:szCs w:val="22"/>
        </w:rPr>
        <w:t xml:space="preserve">Overall programme: generally from €1 million upward for the core PIA route.</w:t>
      </w:r>
    </w:p>
    <w:p>
      <w:pPr>
        <w:pStyle w:val="ListParagraph"/>
        <w:numPr>
          <w:ilvl w:val="0"/>
          <w:numId w:val="2"/>
        </w:numPr>
        <w:spacing w:after="80" w:line="290"/>
      </w:pPr>
      <w:r>
        <w:rPr>
          <w:color w:val="222222"/>
          <w:sz w:val="22"/>
          <w:szCs w:val="22"/>
        </w:rPr>
        <w:t xml:space="preserve">Within an integrated project involving multiple participating micro/small enterprises, each participant's own investment programme must have eligible expenses of at least €500,000.</w:t>
      </w:r>
    </w:p>
    <w:p>
      <w:pPr>
        <w:spacing w:after="100" w:before="220"/>
      </w:pPr>
      <w:r>
        <w:rPr>
          <w:b/>
          <w:bCs/>
          <w:color w:val="0E7C7B"/>
          <w:sz w:val="22"/>
          <w:szCs w:val="22"/>
        </w:rPr>
        <w:t xml:space="preserve">5. Obligations</w:t>
      </w:r>
    </w:p>
    <w:p>
      <w:pPr>
        <w:pStyle w:val="ListParagraph"/>
        <w:numPr>
          <w:ilvl w:val="0"/>
          <w:numId w:val="2"/>
        </w:numPr>
        <w:spacing w:after="80" w:line="290"/>
      </w:pPr>
      <w:r>
        <w:rPr>
          <w:color w:val="222222"/>
          <w:sz w:val="22"/>
          <w:szCs w:val="22"/>
        </w:rPr>
        <w:t xml:space="preserve">Beneficiaries commit to maintaining existing employment levels in Puglia, with attention to female employment, for the year the programme reaches full operation plus the following 3 years.</w:t>
      </w:r>
    </w:p>
    <w:p>
      <w:pPr>
        <w:pStyle w:val="Heading1"/>
        <w:pBdr>
          <w:bottom w:val="single" w:color="0E7C7B" w:sz="6" w:space="4"/>
        </w:pBdr>
        <w:spacing w:after="140" w:before="320"/>
      </w:pPr>
      <w:r>
        <w:rPr>
          <w:b/>
          <w:bCs/>
          <w:color w:val="1B2A4A"/>
          <w:sz w:val="26"/>
          <w:szCs w:val="26"/>
        </w:rPr>
        <w:t xml:space="preserve">PART B — PIA Taranto (Just Transition Fund line — believed currently OPEN)</w:t>
      </w:r>
    </w:p>
    <w:p>
      <w:pPr>
        <w:spacing w:after="100" w:before="220"/>
      </w:pPr>
      <w:r>
        <w:rPr>
          <w:b/>
          <w:bCs/>
          <w:color w:val="0E7C7B"/>
          <w:sz w:val="22"/>
          <w:szCs w:val="22"/>
        </w:rPr>
        <w:t xml:space="preserve">1. What it is</w:t>
      </w:r>
    </w:p>
    <w:p>
      <w:pPr>
        <w:spacing w:after="140" w:line="300"/>
      </w:pPr>
      <w:r>
        <w:rPr>
          <w:color w:val="222222"/>
          <w:sz w:val="22"/>
          <w:szCs w:val="22"/>
        </w:rPr>
        <w:t xml:space="preserve">A dedicated variant of PIA created specifically for the Province of Taranto under DGR 916/2025 (27 June 2025) and Determina Dirigenziale 419/2025, financed through the EU Just Transition Fund rather than the regional PR Puglia FESR-FSE+ programme. It sits alongside "Mini-PIA Taranto" as one of two Taranto-specific JTF lines (a third, "TecnoNidi JTF Taranto," targets innovative startups specifically with €50,000–€500,000 investments at 100% coverage, and is covered under the NIDI reference document, not here).</w:t>
      </w:r>
    </w:p>
    <w:p>
      <w:pPr>
        <w:spacing w:after="140" w:line="300"/>
      </w:pPr>
      <w:r>
        <w:rPr>
          <w:color w:val="222222"/>
          <w:sz w:val="22"/>
          <w:szCs w:val="22"/>
        </w:rPr>
        <w:t xml:space="preserve">Published via BURP n. 4 straordinario of 4 July 2025; applications open since 5 July 2025 via the PugliaSemplice portal.</w:t>
      </w:r>
    </w:p>
    <w:p>
      <w:pPr>
        <w:spacing w:after="100" w:before="220"/>
      </w:pPr>
      <w:r>
        <w:rPr>
          <w:b/>
          <w:bCs/>
          <w:color w:val="0E7C7B"/>
          <w:sz w:val="22"/>
          <w:szCs w:val="22"/>
        </w:rPr>
        <w:t xml:space="preserve">2. Who is eligible</w:t>
      </w:r>
    </w:p>
    <w:p>
      <w:pPr>
        <w:pStyle w:val="ListParagraph"/>
        <w:numPr>
          <w:ilvl w:val="0"/>
          <w:numId w:val="2"/>
        </w:numPr>
        <w:spacing w:after="80" w:line="290"/>
      </w:pPr>
      <w:r>
        <w:rPr>
          <w:color w:val="222222"/>
          <w:sz w:val="22"/>
          <w:szCs w:val="22"/>
        </w:rPr>
        <w:t xml:space="preserve">Notably BROADER than ordinary PIA: technological startups and innovative SMEs, micro and small enterprises, registered freelance professionals, and small/medium enterprises — including those operating in networks or consortia.</w:t>
      </w:r>
    </w:p>
    <w:p>
      <w:pPr>
        <w:pStyle w:val="ListParagraph"/>
        <w:numPr>
          <w:ilvl w:val="0"/>
          <w:numId w:val="2"/>
        </w:numPr>
        <w:spacing w:after="80" w:line="290"/>
      </w:pPr>
      <w:r>
        <w:rPr>
          <w:color w:val="222222"/>
          <w:sz w:val="22"/>
          <w:szCs w:val="22"/>
        </w:rPr>
        <w:t xml:space="preserve">Operating premises located in, or to be located in, the territory of the Province of Taranto.</w:t>
      </w:r>
    </w:p>
    <w:p>
      <w:pPr>
        <w:spacing w:after="100" w:before="220"/>
      </w:pPr>
      <w:r>
        <w:rPr>
          <w:b/>
          <w:bCs/>
          <w:color w:val="0E7C7B"/>
          <w:sz w:val="22"/>
          <w:szCs w:val="22"/>
        </w:rPr>
        <w:t xml:space="preserve">3. Funding amounts</w:t>
      </w:r>
    </w:p>
    <w:p>
      <w:pPr>
        <w:pStyle w:val="ListParagraph"/>
        <w:numPr>
          <w:ilvl w:val="0"/>
          <w:numId w:val="2"/>
        </w:numPr>
        <w:spacing w:after="80" w:line="290"/>
      </w:pPr>
      <w:r>
        <w:rPr>
          <w:color w:val="222222"/>
          <w:sz w:val="22"/>
          <w:szCs w:val="22"/>
        </w:rPr>
        <w:t xml:space="preserve">Non-repayable grant up to 65% of eligible costs, PLUS an additional 10% specifically on productive investments, funded by the JTF enhancement — a meaningfully richer rate than ordinary PIA's productive-investment ceiling.</w:t>
      </w:r>
    </w:p>
    <w:p>
      <w:pPr>
        <w:pStyle w:val="ListParagraph"/>
        <w:numPr>
          <w:ilvl w:val="0"/>
          <w:numId w:val="2"/>
        </w:numPr>
        <w:spacing w:after="80" w:line="290"/>
      </w:pPr>
      <w:r>
        <w:rPr>
          <w:color w:val="222222"/>
          <w:sz w:val="22"/>
          <w:szCs w:val="22"/>
        </w:rPr>
        <w:t xml:space="preserve">Eligible activities: modernising production methods, diversifying offerings, improving environmental sustainability, and strengthening local competitiveness, alongside R&amp;D and technological investment.</w:t>
      </w:r>
    </w:p>
    <w:p>
      <w:pPr>
        <w:spacing w:after="100" w:before="220"/>
      </w:pPr>
      <w:r>
        <w:rPr>
          <w:b/>
          <w:bCs/>
          <w:color w:val="0E7C7B"/>
          <w:sz w:val="22"/>
          <w:szCs w:val="22"/>
        </w:rPr>
        <w:t xml:space="preserve">4. Timing and reporting — a real constraint to flag</w:t>
      </w:r>
    </w:p>
    <w:p>
      <w:pPr>
        <w:pStyle w:val="ListParagraph"/>
        <w:numPr>
          <w:ilvl w:val="0"/>
          <w:numId w:val="2"/>
        </w:numPr>
        <w:spacing w:after="80" w:line="290"/>
      </w:pPr>
      <w:r>
        <w:rPr>
          <w:color w:val="222222"/>
          <w:sz w:val="22"/>
          <w:szCs w:val="22"/>
        </w:rPr>
        <w:t xml:space="preserve">Rolling application ("a sportello") — no fixed deadline, evaluated in order of submission until funds are exhausted.</w:t>
      </w:r>
    </w:p>
    <w:p>
      <w:pPr>
        <w:pStyle w:val="ListParagraph"/>
        <w:numPr>
          <w:ilvl w:val="0"/>
          <w:numId w:val="2"/>
        </w:numPr>
        <w:spacing w:after="80" w:line="290"/>
      </w:pPr>
      <w:r>
        <w:rPr>
          <w:color w:val="222222"/>
          <w:sz w:val="22"/>
          <w:szCs w:val="22"/>
        </w:rPr>
        <w:t xml:space="preserve">70% of the JTF funding comes from NextGenerationEU and carries a hard reporting deadline of 31 December 2026 — a project starting late risks being unable to complete reporting in time. The remaining 30% follows the EU's standard N+3 rule, extending to 2029.</w:t>
      </w:r>
    </w:p>
    <w:p>
      <w:pPr>
        <w:pStyle w:val="ListParagraph"/>
        <w:numPr>
          <w:ilvl w:val="0"/>
          <w:numId w:val="2"/>
        </w:numPr>
        <w:spacing w:after="80" w:line="290"/>
      </w:pPr>
      <w:r>
        <w:rPr>
          <w:color w:val="222222"/>
          <w:sz w:val="22"/>
          <w:szCs w:val="22"/>
        </w:rPr>
        <w:t xml:space="preserve">This timing constraint is a genuine practical consideration to mention to any contact considering this route now, not just a funding-amount detail.</w:t>
      </w:r>
    </w:p>
    <w:p>
      <w:pPr>
        <w:pStyle w:val="Heading1"/>
        <w:pBdr>
          <w:bottom w:val="single" w:color="0E7C7B" w:sz="6" w:space="4"/>
        </w:pBdr>
        <w:spacing w:after="140" w:before="320"/>
      </w:pPr>
      <w:r>
        <w:rPr>
          <w:b/>
          <w:bCs/>
          <w:color w:val="1B2A4A"/>
          <w:sz w:val="26"/>
          <w:szCs w:val="26"/>
        </w:rPr>
        <w:t xml:space="preserve">Suggested Navigator rule mapping</w:t>
      </w:r>
    </w:p>
    <w:p>
      <w:pPr>
        <w:spacing w:after="140" w:line="300"/>
      </w:pPr>
      <w:r>
        <w:rPr>
          <w:color w:val="222222"/>
          <w:sz w:val="22"/>
          <w:szCs w:val="22"/>
        </w:rPr>
        <w:t xml:space="preserve">Ordinary PIA (Part A): should be marked with a clear 'currently suspended' status in the description, similar to the Mini-PIA row, and maps to org_type = startup/pharma with stage = 'established' given the financial-track-record requirement (the standalone-startup exception is a narrower edge case worth a note rather than its own row).</w:t>
      </w:r>
    </w:p>
    <w:p>
      <w:pPr>
        <w:spacing w:after="140" w:line="300"/>
      </w:pPr>
      <w:r>
        <w:rPr>
          <w:color w:val="222222"/>
          <w:sz w:val="22"/>
          <w:szCs w:val="22"/>
        </w:rPr>
        <w:t xml:space="preserve">PIA Taranto (Part B): maps to org_type = startup (broadest fit given its wide eligibility), region = Italy, with the same Taranto/Puglia region-precision limitation flagged in the other documents — this row should NOT be marked suspended, since current evidence indicates it remains open independent of the general suspension. Flag the 2026 NextGenerationEU reporting deadline explicitly in the description text, since it materially affects whether it's a good fit for a contact only exploring options now versus one ready to start immediately.</w:t>
      </w:r>
    </w:p>
    <w:p>
      <w:pPr>
        <w:spacing w:after="140" w:line="300"/>
      </w:pPr>
      <w:r>
        <w:rPr>
          <w:color w:val="222222"/>
          <w:sz w:val="22"/>
          <w:szCs w:val="22"/>
        </w:rPr>
        <w:t xml:space="preserve">CORRECTION TO EARLIER MINI-PIA DOCUMENT: the same open/suspended split applies to Mini-PIA. "Mini-PIA Taranto" (JTF-financed, open since 5 July 2025) is reported by recent sources as remaining open even though ordinary Mini-PIA was suspended in March 2026 — the original Mini-PIA reference document did not capture this distinction and should be read alongside this correction, or updated directly, before finalising navigator_rules.</w:t>
      </w:r>
    </w:p>
    <w:p>
      <w:pPr>
        <w:pStyle w:val="Heading1"/>
        <w:pBdr>
          <w:bottom w:val="single" w:color="0E7C7B" w:sz="6" w:space="4"/>
        </w:pBdr>
        <w:spacing w:after="140" w:before="320"/>
      </w:pPr>
      <w:r>
        <w:rPr>
          <w:b/>
          <w:bCs/>
          <w:color w:val="1B2A4A"/>
          <w:sz w:val="26"/>
          <w:szCs w:val="26"/>
        </w:rPr>
        <w:t xml:space="preserve">Sources</w:t>
      </w:r>
    </w:p>
    <w:p>
      <w:pPr>
        <w:spacing w:after="60"/>
      </w:pPr>
      <w:r>
        <w:rPr>
          <w:color w:val="222222"/>
          <w:sz w:val="20"/>
          <w:szCs w:val="20"/>
        </w:rPr>
        <w:t xml:space="preserve">• </w:t>
      </w:r>
      <w:hyperlink w:history="1" r:id="rIdcg2o09osfycbh22jwvydd">
        <w:r>
          <w:rPr>
            <w:rStyle w:val="Hyperlink"/>
            <w:color w:val="0563C1"/>
            <w:sz w:val="20"/>
            <w:szCs w:val="20"/>
            <w:u w:val="single"/>
          </w:rPr>
          <w:t xml:space="preserve">Feeda — PIA Piccole Imprese guide, incl. Taranto line and March 2026 suspension</w:t>
        </w:r>
      </w:hyperlink>
    </w:p>
    <w:p>
      <w:pPr>
        <w:spacing w:after="60"/>
      </w:pPr>
      <w:r>
        <w:rPr>
          <w:color w:val="222222"/>
          <w:sz w:val="20"/>
          <w:szCs w:val="20"/>
        </w:rPr>
        <w:t xml:space="preserve">• </w:t>
      </w:r>
      <w:hyperlink w:history="1" r:id="rIdlvwpwkiytrkbnlhdmzypw">
        <w:r>
          <w:rPr>
            <w:rStyle w:val="Hyperlink"/>
            <w:color w:val="0563C1"/>
            <w:sz w:val="20"/>
            <w:szCs w:val="20"/>
            <w:u w:val="single"/>
          </w:rPr>
          <w:t xml:space="preserve">Regione Puglia — Mini PIA Taranto avviso (references shared PIA Taranto governance)</w:t>
        </w:r>
      </w:hyperlink>
    </w:p>
    <w:p>
      <w:pPr>
        <w:spacing w:after="60"/>
      </w:pPr>
      <w:r>
        <w:rPr>
          <w:color w:val="222222"/>
          <w:sz w:val="20"/>
          <w:szCs w:val="20"/>
        </w:rPr>
        <w:t xml:space="preserve">• </w:t>
      </w:r>
      <w:hyperlink w:history="1" r:id="rId2ftmgrybxicdgwehvkncu">
        <w:r>
          <w:rPr>
            <w:rStyle w:val="Hyperlink"/>
            <w:color w:val="0563C1"/>
            <w:sz w:val="20"/>
            <w:szCs w:val="20"/>
            <w:u w:val="single"/>
          </w:rPr>
          <w:t xml:space="preserve">SprintX — Mini PIA Puglia guide noting Mini-PIA Taranto remains open despite suspension</w:t>
        </w:r>
      </w:hyperlink>
    </w:p>
    <w:p>
      <w:pPr>
        <w:spacing w:after="60"/>
      </w:pPr>
      <w:r>
        <w:rPr>
          <w:color w:val="222222"/>
          <w:sz w:val="20"/>
          <w:szCs w:val="20"/>
        </w:rPr>
        <w:t xml:space="preserve">• </w:t>
      </w:r>
      <w:hyperlink w:history="1" r:id="rIdteor2pad29klj7myo6sqb">
        <w:r>
          <w:rPr>
            <w:rStyle w:val="Hyperlink"/>
            <w:color w:val="0563C1"/>
            <w:sz w:val="20"/>
            <w:szCs w:val="20"/>
            <w:u w:val="single"/>
          </w:rPr>
          <w:t xml:space="preserve">Feeda — Comparison guide: Tecnonidi vs PIA vs MiniPIA JTF Taranto lines</w:t>
        </w:r>
      </w:hyperlink>
    </w:p>
    <w:p>
      <w:pPr>
        <w:spacing w:after="60"/>
      </w:pPr>
      <w:r>
        <w:rPr>
          <w:color w:val="222222"/>
          <w:sz w:val="20"/>
          <w:szCs w:val="20"/>
        </w:rPr>
        <w:t xml:space="preserve">• </w:t>
      </w:r>
      <w:hyperlink w:history="1" r:id="rIdfrvhdlppjspij2wateyof">
        <w:r>
          <w:rPr>
            <w:rStyle w:val="Hyperlink"/>
            <w:color w:val="0563C1"/>
            <w:sz w:val="20"/>
            <w:szCs w:val="20"/>
            <w:u w:val="single"/>
          </w:rPr>
          <w:t xml:space="preserve">Regione Puglia Press — PIA and Mini-PIA Taranto joint launch announcement</w:t>
        </w:r>
      </w:hyperlink>
    </w:p>
    <w:p>
      <w:pPr>
        <w:spacing w:after="60"/>
      </w:pPr>
      <w:r>
        <w:rPr>
          <w:color w:val="222222"/>
          <w:sz w:val="20"/>
          <w:szCs w:val="20"/>
        </w:rPr>
        <w:t xml:space="preserve">• </w:t>
      </w:r>
      <w:hyperlink w:history="1" r:id="rId3lzt_wfloojkuvhfqzl8a">
        <w:r>
          <w:rPr>
            <w:rStyle w:val="Hyperlink"/>
            <w:color w:val="0563C1"/>
            <w:sz w:val="20"/>
            <w:szCs w:val="20"/>
            <w:u w:val="single"/>
          </w:rPr>
          <w:t xml:space="preserve">Progetto Impresa — PIA/MiniPIA/CdP suspension notice, March 2026, and which measures remain active</w:t>
        </w:r>
      </w:hyperlink>
    </w:p>
    <w:p>
      <w:pPr>
        <w:spacing w:after="60"/>
      </w:pPr>
      <w:r>
        <w:rPr>
          <w:color w:val="222222"/>
          <w:sz w:val="20"/>
          <w:szCs w:val="20"/>
        </w:rPr>
        <w:t xml:space="preserve">• </w:t>
      </w:r>
      <w:hyperlink w:history="1" r:id="rId1slv36idzmdsvbchkiaos">
        <w:r>
          <w:rPr>
            <w:rStyle w:val="Hyperlink"/>
            <w:color w:val="0563C1"/>
            <w:sz w:val="20"/>
            <w:szCs w:val="20"/>
            <w:u w:val="single"/>
          </w:rPr>
          <w:t xml:space="preserve">Incentivimpresa — MiniPIA Regione Puglia, DGR 176/2026 suspension detail</w:t>
        </w:r>
      </w:hyperlink>
    </w:p>
    <w:p>
      <w:pPr>
        <w:spacing w:after="60"/>
      </w:pPr>
      <w:r>
        <w:rPr>
          <w:color w:val="222222"/>
          <w:sz w:val="20"/>
          <w:szCs w:val="20"/>
        </w:rPr>
        <w:t xml:space="preserve">• </w:t>
      </w:r>
      <w:hyperlink w:history="1" r:id="rIdp7qkjpwop3swv7n_k1hbk">
        <w:r>
          <w:rPr>
            <w:rStyle w:val="Hyperlink"/>
            <w:color w:val="0563C1"/>
            <w:sz w:val="20"/>
            <w:szCs w:val="20"/>
            <w:u w:val="single"/>
          </w:rPr>
          <w:t xml:space="preserve">Regione Puglia (POR) — PIA Piccole Imprese official eligibility and cost thresholds</w:t>
        </w:r>
      </w:hyperlink>
    </w:p>
    <w:p>
      <w:pPr>
        <w:spacing w:after="60"/>
      </w:pPr>
      <w:r>
        <w:rPr>
          <w:color w:val="222222"/>
          <w:sz w:val="20"/>
          <w:szCs w:val="20"/>
        </w:rPr>
        <w:t xml:space="preserve">• </w:t>
      </w:r>
      <w:hyperlink w:history="1" r:id="rIdcnzszifvpbxiqme8cvrgx">
        <w:r>
          <w:rPr>
            <w:rStyle w:val="Hyperlink"/>
            <w:color w:val="0563C1"/>
            <w:sz w:val="20"/>
            <w:szCs w:val="20"/>
            <w:u w:val="single"/>
          </w:rPr>
          <w:t xml:space="preserve">Agevolazioni.puglia.it — PIA aid-intensity percentages by component</w:t>
        </w:r>
      </w:hyperlink>
    </w:p>
    <w:p>
      <w:pPr>
        <w:spacing w:after="60"/>
      </w:pPr>
      <w:r>
        <w:rPr>
          <w:color w:val="222222"/>
          <w:sz w:val="20"/>
          <w:szCs w:val="20"/>
        </w:rPr>
        <w:t xml:space="preserve">• </w:t>
      </w:r>
      <w:hyperlink w:history="1" r:id="rId7dqmjdbpco4yhitaha3kp">
        <w:r>
          <w:rPr>
            <w:rStyle w:val="Hyperlink"/>
            <w:color w:val="0563C1"/>
            <w:sz w:val="20"/>
            <w:szCs w:val="20"/>
            <w:u w:val="single"/>
          </w:rPr>
          <w:t xml:space="preserve">SprintX — Mini PIA Taranto standalone guide (JTF governance, application steps)</w:t>
        </w:r>
      </w:hyperlink>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g2o09osfycbh22jwvydd" Type="http://schemas.openxmlformats.org/officeDocument/2006/relationships/hyperlink" Target="https://www.feeda.it/bandi-aperti/pia-piccole-imprese/" TargetMode="External"/><Relationship Id="rIdlvwpwkiytrkbnlhdmzypw" Type="http://schemas.openxmlformats.org/officeDocument/2006/relationships/hyperlink" Target="https://cai.regione.puglia.it/web/competitivita-e-innovazione/-/avviso-pubblico-pacchetti-integrati-di-agevolazione-taranto-mini-pia-taranto" TargetMode="External"/><Relationship Id="rId2ftmgrybxicdgwehvkncu" Type="http://schemas.openxmlformats.org/officeDocument/2006/relationships/hyperlink" Target="https://sprintx.it/blog/minipia-regione-puglia-finanziamento-startup-pmi/" TargetMode="External"/><Relationship Id="rIdteor2pad29klj7myo6sqb" Type="http://schemas.openxmlformats.org/officeDocument/2006/relationships/hyperlink" Target="https://feeda.it/bandi-aperti/bandi-aperti-differenze-pia-minipia-jtf-puglia" TargetMode="External"/><Relationship Id="rIdfrvhdlppjspij2wateyof" Type="http://schemas.openxmlformats.org/officeDocument/2006/relationships/hyperlink" Target="https://press.regione.puglia.it/-/taranto-da-pia-e-minipia-opportunit%C3%A0-di-finanziamento-per-start-up-innovative-micro-piccole-e-medie-imprese" TargetMode="External"/><Relationship Id="rId3lzt_wfloojkuvhfqzl8a" Type="http://schemas.openxmlformats.org/officeDocument/2006/relationships/hyperlink" Target="https://progettoimpresasrl.it/sospensione-bandi-pia-minipia-e-cdp-regione-puglia-2026/" TargetMode="External"/><Relationship Id="rId1slv36idzmdsvbchkiaos" Type="http://schemas.openxmlformats.org/officeDocument/2006/relationships/hyperlink" Target="https://www.incentivimpresa.it/minipia-regione-puglia/" TargetMode="External"/><Relationship Id="rIdp7qkjpwop3swv7n_k1hbk" Type="http://schemas.openxmlformats.org/officeDocument/2006/relationships/hyperlink" Target="https://por.regione.puglia.it/en/-/pia-agevolazioni-piccole-imprese-titolo-ii-capo-2" TargetMode="External"/><Relationship Id="rIdcnzszifvpbxiqme8cvrgx" Type="http://schemas.openxmlformats.org/officeDocument/2006/relationships/hyperlink" Target="https://www.agevolazioni.puglia.it/programmi-integrati-di-agevolazioni-pia-2/" TargetMode="External"/><Relationship Id="rId7dqmjdbpco4yhitaha3kp" Type="http://schemas.openxmlformats.org/officeDocument/2006/relationships/hyperlink" Target="https://sprintx.it/blog/mini-pia-taranto/"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2026-07-16T12:39:45.835Z</dcterms:created>
  <dcterms:modified xsi:type="dcterms:W3CDTF">2026-07-16T12:39:45.861Z</dcterms:modified>
</cp:coreProperties>
</file>

<file path=docProps/custom.xml><?xml version="1.0" encoding="utf-8"?>
<Properties xmlns="http://schemas.openxmlformats.org/officeDocument/2006/custom-properties" xmlns:vt="http://schemas.openxmlformats.org/officeDocument/2006/docPropsVTypes"/>
</file>