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A4A"/>
          <w:sz w:val="20"/>
          <w:szCs w:val="20"/>
        </w:rPr>
        <w:t xml:space="preserve">bioERGOtech Foundation ETS</w:t>
      </w:r>
    </w:p>
    <w:p>
      <w:pPr>
        <w:pBdr>
          <w:bottom w:val="single" w:color="0E7C7B" w:sz="10" w:space="6"/>
        </w:pBdr>
        <w:spacing w:after="260"/>
      </w:pPr>
      <w:r>
        <w:rPr>
          <w:color w:val="555555"/>
          <w:sz w:val="18"/>
          <w:szCs w:val="18"/>
        </w:rPr>
        <w:t xml:space="preserve">Funding &amp; Grant Eligibility Reference — for Director review</w:t>
      </w:r>
    </w:p>
    <w:p>
      <w:pPr>
        <w:spacing w:after="60"/>
      </w:pPr>
      <w:r>
        <w:rPr>
          <w:b/>
          <w:bCs/>
          <w:color w:val="1B2A4A"/>
          <w:sz w:val="36"/>
          <w:szCs w:val="36"/>
        </w:rPr>
        <w:t xml:space="preserve">ZES Unica — Zona Economica Speciale per il Mezzogiorno</w:t>
      </w:r>
    </w:p>
    <w:p>
      <w:pPr>
        <w:spacing w:after="300"/>
      </w:pPr>
      <w:r>
        <w:rPr>
          <w:i/>
          <w:iCs/>
          <w:color w:val="555555"/>
          <w:sz w:val="22"/>
          <w:szCs w:val="22"/>
        </w:rPr>
        <w:t xml:space="preserve">Italian tax credit for capital investment in Southern Italy, with an enhanced rate for the Taranto area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FF4E0" w:val="clear"/>
            <w:tcMar>
              <w:top w:type="dxa" w:w="140"/>
              <w:left w:type="dxa" w:w="160"/>
              <w:bottom w:type="dxa" w:w="140"/>
              <w:right w:type="dxa" w:w="160"/>
            </w:tcMar>
          </w:tcPr>
          <w:p>
            <w:pPr>
              <w:spacing w:after="40"/>
            </w:pPr>
            <w:r>
              <w:rPr>
                <w:b/>
                <w:bCs/>
                <w:color w:val="8A5A00"/>
                <w:sz w:val="20"/>
                <w:szCs w:val="20"/>
              </w:rPr>
              <w:t xml:space="preserve">STATUS AS OF THIS DOCUMENT (mid-2026): 2026 APPLICATION WINDOW HAS ALREADY CLOSED</w:t>
            </w:r>
          </w:p>
          <w:p>
            <w:r>
              <w:rPr>
                <w:color w:val="5A3D00"/>
                <w:sz w:val="20"/>
                <w:szCs w:val="20"/>
              </w:rPr>
              <w:t xml:space="preserve">The 2026 tax-credit reservation ('comunicazione') window ran 31 March – 30 May 2026 and has passed as of this writing. The scheme itself runs through 2028, so a new annual window is expected to open again for calendar year 2027 (a follow-up 'integrative communication' window for confirming actual 2026 spend runs 3–17 January 2027). Do not tell a Navigator user they can apply for ZES 'right now' for 2026 — the accurate framing is that the scheme is confirmed through 2028 and the next application window is expected in early 2027. Confirm exact 2027 dates on the Agenzia delle Entrate site closer to the time.</w:t>
            </w:r>
          </w:p>
        </w:tc>
      </w:tr>
    </w:tbl>
    <w:p>
      <w:pPr>
        <w:spacing w:after="200"/>
      </w:pPr>
    </w:p>
    <w:p>
      <w:pPr>
        <w:pStyle w:val="Heading1"/>
        <w:pBdr>
          <w:bottom w:val="single" w:color="0E7C7B" w:sz="6" w:space="4"/>
        </w:pBdr>
        <w:spacing w:after="140" w:before="320"/>
      </w:pPr>
      <w:r>
        <w:rPr>
          <w:b/>
          <w:bCs/>
          <w:color w:val="1B2A4A"/>
          <w:sz w:val="26"/>
          <w:szCs w:val="26"/>
        </w:rPr>
        <w:t xml:space="preserve">1. What it is</w:t>
      </w:r>
    </w:p>
    <w:p>
      <w:pPr>
        <w:spacing w:after="140" w:line="300"/>
      </w:pPr>
      <w:r>
        <w:rPr>
          <w:color w:val="222222"/>
          <w:sz w:val="22"/>
          <w:szCs w:val="22"/>
        </w:rPr>
        <w:t xml:space="preserve">ZES Unica is a tax credit (credito d'imposta) for businesses acquiring new capital goods (machinery, equipment, land, and buildings) for productive facilities located within the Special Economic Zone for Southern Italy. It replaced the previous system of 8 separate regional ZES zones from 1 January 2024, unifying them into a single scheme covering Southern and some Central Italian regions. It is administered by the Agenzia delle Entrate (Italian Revenue Agency), with credit usable only via offset against other tax liabilities (F24 compensation), not as a cash grant.</w:t>
      </w:r>
    </w:p>
    <w:p>
      <w:pPr>
        <w:spacing w:after="140" w:line="300"/>
      </w:pPr>
      <w:r>
        <w:rPr>
          <w:color w:val="222222"/>
          <w:sz w:val="22"/>
          <w:szCs w:val="22"/>
        </w:rPr>
        <w:t xml:space="preserve">Legal basis: Article 16 of Decree-Law 124/2023 (converted into Law 162/2023), extended for 2026–2028 by Article 1, paragraphs 438–443 of Budget Law (Legge di Bilancio) 199/2025.</w:t>
      </w:r>
    </w:p>
    <w:p>
      <w:pPr>
        <w:pStyle w:val="Heading1"/>
        <w:pBdr>
          <w:bottom w:val="single" w:color="0E7C7B" w:sz="6" w:space="4"/>
        </w:pBdr>
        <w:spacing w:after="140" w:before="320"/>
      </w:pPr>
      <w:r>
        <w:rPr>
          <w:b/>
          <w:bCs/>
          <w:color w:val="1B2A4A"/>
          <w:sz w:val="26"/>
          <w:szCs w:val="26"/>
        </w:rPr>
        <w:t xml:space="preserve">2. Who is eligible</w:t>
      </w:r>
    </w:p>
    <w:p>
      <w:pPr>
        <w:pStyle w:val="ListParagraph"/>
        <w:numPr>
          <w:ilvl w:val="0"/>
          <w:numId w:val="2"/>
        </w:numPr>
        <w:spacing w:after="80" w:line="290"/>
      </w:pPr>
      <w:r>
        <w:rPr>
          <w:color w:val="222222"/>
          <w:sz w:val="22"/>
          <w:szCs w:val="22"/>
        </w:rPr>
        <w:t xml:space="preserve">Any business, regardless of legal form or accounting regime, already operating in or newly establishing a productive facility within the ZES Unica territory.</w:t>
      </w:r>
    </w:p>
    <w:p>
      <w:pPr>
        <w:pStyle w:val="ListParagraph"/>
        <w:numPr>
          <w:ilvl w:val="0"/>
          <w:numId w:val="2"/>
        </w:numPr>
        <w:spacing w:after="80" w:line="290"/>
      </w:pPr>
      <w:r>
        <w:rPr>
          <w:color w:val="222222"/>
          <w:sz w:val="22"/>
          <w:szCs w:val="22"/>
        </w:rPr>
        <w:t xml:space="preserve">Included regions (as of 2026): Basilicata, Calabria, Campania, Molise, Puglia, Sardinia, Sicily (original 8-region group minus Abruzzo's separate treatment), plus Abruzzo, Marche, and Umbria under a related but distinct derogation basis — 10 regions in total as of the 2026 extension.</w:t>
      </w:r>
    </w:p>
    <w:p>
      <w:pPr>
        <w:pStyle w:val="ListParagraph"/>
        <w:numPr>
          <w:ilvl w:val="0"/>
          <w:numId w:val="2"/>
        </w:numPr>
        <w:spacing w:after="80" w:line="290"/>
      </w:pPr>
      <w:r>
        <w:rPr>
          <w:color w:val="222222"/>
          <w:sz w:val="22"/>
          <w:szCs w:val="22"/>
        </w:rPr>
        <w:t xml:space="preserve">EXCLUDED sectors: steel and coal/lignite industries; transport (except warehousing and transport-support services) and related infrastructure; energy production, storage, transmission, and distribution and related infrastructure; broadband; and the credit, financial, and insurance sectors.</w:t>
      </w:r>
    </w:p>
    <w:p>
      <w:pPr>
        <w:pStyle w:val="ListParagraph"/>
        <w:numPr>
          <w:ilvl w:val="0"/>
          <w:numId w:val="2"/>
        </w:numPr>
        <w:spacing w:after="80" w:line="290"/>
      </w:pPr>
      <w:r>
        <w:rPr>
          <w:color w:val="222222"/>
          <w:sz w:val="22"/>
          <w:szCs w:val="22"/>
        </w:rPr>
        <w:t xml:space="preserve">EXCLUDED businesses: those in liquidation or winding-up, and "undertakings in difficulty" as defined by Article 2, point 18 of EU Regulation 651/2014.</w:t>
      </w:r>
    </w:p>
    <w:p>
      <w:pPr>
        <w:pStyle w:val="Heading1"/>
        <w:pBdr>
          <w:bottom w:val="single" w:color="0E7C7B" w:sz="6" w:space="4"/>
        </w:pBdr>
        <w:spacing w:after="140" w:before="320"/>
      </w:pPr>
      <w:r>
        <w:rPr>
          <w:b/>
          <w:bCs/>
          <w:color w:val="1B2A4A"/>
          <w:sz w:val="26"/>
          <w:szCs w:val="26"/>
        </w:rPr>
        <w:t xml:space="preserve">3. Funding amounts — rate varies significantly by region and enterprise size</w:t>
      </w:r>
    </w:p>
    <w:p>
      <w:pPr>
        <w:pStyle w:val="ListParagraph"/>
        <w:numPr>
          <w:ilvl w:val="0"/>
          <w:numId w:val="2"/>
        </w:numPr>
        <w:spacing w:after="80" w:line="290"/>
      </w:pPr>
      <w:r>
        <w:rPr>
          <w:color w:val="222222"/>
          <w:sz w:val="22"/>
          <w:szCs w:val="22"/>
        </w:rPr>
        <w:t xml:space="preserve">Calabria, Campania, Puglia, Sicily (general rate): 40% of eligible costs.</w:t>
      </w:r>
    </w:p>
    <w:p>
      <w:pPr>
        <w:pStyle w:val="ListParagraph"/>
        <w:numPr>
          <w:ilvl w:val="0"/>
          <w:numId w:val="2"/>
        </w:numPr>
        <w:spacing w:after="80" w:line="290"/>
      </w:pPr>
      <w:r>
        <w:rPr>
          <w:color w:val="222222"/>
          <w:sz w:val="22"/>
          <w:szCs w:val="22"/>
        </w:rPr>
        <w:t xml:space="preserve">Basilicata, Molise, Sardinia (general rate): 30% of eligible costs.</w:t>
      </w:r>
    </w:p>
    <w:p>
      <w:pPr>
        <w:pStyle w:val="ListParagraph"/>
        <w:numPr>
          <w:ilvl w:val="0"/>
          <w:numId w:val="2"/>
        </w:numPr>
        <w:spacing w:after="80" w:line="290"/>
      </w:pPr>
      <w:r>
        <w:rPr>
          <w:color w:val="222222"/>
          <w:sz w:val="22"/>
          <w:szCs w:val="22"/>
        </w:rPr>
        <w:t xml:space="preserve">Abruzzo (general rate): 15% of eligible costs.</w:t>
      </w:r>
    </w:p>
    <w:p>
      <w:pPr>
        <w:pStyle w:val="ListParagraph"/>
        <w:numPr>
          <w:ilvl w:val="0"/>
          <w:numId w:val="2"/>
        </w:numPr>
        <w:spacing w:after="80" w:line="290"/>
      </w:pPr>
      <w:r>
        <w:rPr>
          <w:color w:val="222222"/>
          <w:sz w:val="22"/>
          <w:szCs w:val="22"/>
        </w:rPr>
        <w:t xml:space="preserve">Marche and Umbria (newly added, from Law 171/2025): same rates as Abruzzo.</w:t>
      </w:r>
    </w:p>
    <w:p>
      <w:pPr>
        <w:pStyle w:val="ListParagraph"/>
        <w:numPr>
          <w:ilvl w:val="0"/>
          <w:numId w:val="2"/>
        </w:numPr>
        <w:spacing w:after="80" w:line="290"/>
      </w:pPr>
      <w:r>
        <w:rPr>
          <w:color w:val="222222"/>
          <w:sz w:val="22"/>
          <w:szCs w:val="22"/>
        </w:rPr>
        <w:t xml:space="preserve">TARANTO AREA SPECIFIC RATE (Just Transition Fund enhancement) — this is the figure most relevant to bioERGOtech: small enterprise 70%, medium enterprise 60%, large enterprise 50%. This is the highest rate available nationally under the scheme.</w:t>
      </w:r>
    </w:p>
    <w:p>
      <w:pPr>
        <w:pStyle w:val="ListParagraph"/>
        <w:numPr>
          <w:ilvl w:val="0"/>
          <w:numId w:val="2"/>
        </w:numPr>
        <w:spacing w:after="80" w:line="290"/>
      </w:pPr>
      <w:r>
        <w:rPr>
          <w:color w:val="222222"/>
          <w:sz w:val="22"/>
          <w:szCs w:val="22"/>
        </w:rPr>
        <w:t xml:space="preserve">General uplift rule: base percentages increase by 10 points for medium enterprises and 20 points for small enterprises, where the investment does not exceed €50 million (this uplift is separate from, and should not be confused with, the already-enhanced flat Taranto rates above).</w:t>
      </w:r>
    </w:p>
    <w:p>
      <w:pPr>
        <w:pStyle w:val="ListParagraph"/>
        <w:numPr>
          <w:ilvl w:val="0"/>
          <w:numId w:val="2"/>
        </w:numPr>
        <w:spacing w:after="80" w:line="290"/>
      </w:pPr>
      <w:r>
        <w:rPr>
          <w:color w:val="222222"/>
          <w:sz w:val="22"/>
          <w:szCs w:val="22"/>
        </w:rPr>
        <w:t xml:space="preserve">IMPORTANT CAVEAT — actual credit can be reduced below the nominal rate: because total requests can exceed the annual budget cap, the Agenzia delle Entrate applies a pro-rata reduction. For the 2025 cycle, the effective usable credit was reduced to 60.3811% of the nominal calculated amount. A similar reduction is possible for 2026 and should be mentioned as a real possibility, not treated as a certainty either way, until the Agenzia delle Entrate publishes the 2026 ratio.</w:t>
      </w:r>
    </w:p>
    <w:p>
      <w:pPr>
        <w:pStyle w:val="Heading1"/>
        <w:pBdr>
          <w:bottom w:val="single" w:color="0E7C7B" w:sz="6" w:space="4"/>
        </w:pBdr>
        <w:spacing w:after="140" w:before="320"/>
      </w:pPr>
      <w:r>
        <w:rPr>
          <w:b/>
          <w:bCs/>
          <w:color w:val="1B2A4A"/>
          <w:sz w:val="26"/>
          <w:szCs w:val="26"/>
        </w:rPr>
        <w:t xml:space="preserve">4. Investment thresholds and eligible costs</w:t>
      </w:r>
    </w:p>
    <w:p>
      <w:pPr>
        <w:pStyle w:val="ListParagraph"/>
        <w:numPr>
          <w:ilvl w:val="0"/>
          <w:numId w:val="2"/>
        </w:numPr>
        <w:spacing w:after="80" w:line="290"/>
      </w:pPr>
      <w:r>
        <w:rPr>
          <w:color w:val="222222"/>
          <w:sz w:val="22"/>
          <w:szCs w:val="22"/>
        </w:rPr>
        <w:t xml:space="preserve">Minimum project size: €200,000 in total cost. Projects below this are NOT eligible.</w:t>
      </w:r>
    </w:p>
    <w:p>
      <w:pPr>
        <w:pStyle w:val="ListParagraph"/>
        <w:numPr>
          <w:ilvl w:val="0"/>
          <w:numId w:val="2"/>
        </w:numPr>
        <w:spacing w:after="80" w:line="290"/>
      </w:pPr>
      <w:r>
        <w:rPr>
          <w:color w:val="222222"/>
          <w:sz w:val="22"/>
          <w:szCs w:val="22"/>
        </w:rPr>
        <w:t xml:space="preserve">Maximum credit per project: capped at the value of €100 million in eligible costs per investment project.</w:t>
      </w:r>
    </w:p>
    <w:p>
      <w:pPr>
        <w:pStyle w:val="ListParagraph"/>
        <w:numPr>
          <w:ilvl w:val="0"/>
          <w:numId w:val="2"/>
        </w:numPr>
        <w:spacing w:after="80" w:line="290"/>
      </w:pPr>
      <w:r>
        <w:rPr>
          <w:color w:val="222222"/>
          <w:sz w:val="22"/>
          <w:szCs w:val="22"/>
        </w:rPr>
        <w:t xml:space="preserve">Eligible: new machinery, plant, and equipment; land and buildings intended for or already used in productive activity (including via finance-lease); investments can be part of a multi-year project, provided the specific expense is incurred within the relevant calendar year.</w:t>
      </w:r>
    </w:p>
    <w:p>
      <w:pPr>
        <w:pStyle w:val="ListParagraph"/>
        <w:numPr>
          <w:ilvl w:val="0"/>
          <w:numId w:val="2"/>
        </w:numPr>
        <w:spacing w:after="80" w:line="290"/>
      </w:pPr>
      <w:r>
        <w:rPr>
          <w:color w:val="222222"/>
          <w:sz w:val="22"/>
          <w:szCs w:val="22"/>
        </w:rPr>
        <w:t xml:space="preserve">Land and buildings combined cannot exceed 50% of the total value of the agevolated investment.</w:t>
      </w:r>
    </w:p>
    <w:p>
      <w:pPr>
        <w:pStyle w:val="ListParagraph"/>
        <w:numPr>
          <w:ilvl w:val="0"/>
          <w:numId w:val="2"/>
        </w:numPr>
        <w:spacing w:after="80" w:line="290"/>
      </w:pPr>
      <w:r>
        <w:rPr>
          <w:color w:val="222222"/>
          <w:sz w:val="22"/>
          <w:szCs w:val="22"/>
        </w:rPr>
        <w:t xml:space="preserve">Excluded: used goods, non-instrumental investments, agricultural land, and (per general ZES rules elsewhere) commercial vehicles.</w:t>
      </w:r>
    </w:p>
    <w:p>
      <w:pPr>
        <w:pStyle w:val="ListParagraph"/>
        <w:numPr>
          <w:ilvl w:val="0"/>
          <w:numId w:val="2"/>
        </w:numPr>
        <w:spacing w:after="80" w:line="290"/>
      </w:pPr>
      <w:r>
        <w:rPr>
          <w:color w:val="222222"/>
          <w:sz w:val="22"/>
          <w:szCs w:val="22"/>
        </w:rPr>
        <w:t xml:space="preserve">Businesses must maintain their activity within the ZES Unica territory for at least 5 years after completing the investment, or the benefit is subject to claw-back. Assets must also come into use within the second tax period following acquisition/completion, or the credit is likewise reduced.</w:t>
      </w:r>
    </w:p>
    <w:p>
      <w:pPr>
        <w:pStyle w:val="Heading1"/>
        <w:pBdr>
          <w:bottom w:val="single" w:color="0E7C7B" w:sz="6" w:space="4"/>
        </w:pBdr>
        <w:spacing w:after="140" w:before="320"/>
      </w:pPr>
      <w:r>
        <w:rPr>
          <w:b/>
          <w:bCs/>
          <w:color w:val="1B2A4A"/>
          <w:sz w:val="26"/>
          <w:szCs w:val="26"/>
        </w:rPr>
        <w:t xml:space="preserve">5. Application process and 2026 timeline (for reference — see status banner above)</w:t>
      </w:r>
    </w:p>
    <w:p>
      <w:pPr>
        <w:pStyle w:val="ListParagraph"/>
        <w:numPr>
          <w:ilvl w:val="0"/>
          <w:numId w:val="2"/>
        </w:numPr>
        <w:spacing w:after="80" w:line="290"/>
      </w:pPr>
      <w:r>
        <w:rPr>
          <w:color w:val="222222"/>
          <w:sz w:val="22"/>
          <w:szCs w:val="22"/>
        </w:rPr>
        <w:t xml:space="preserve">Step 1 — Reservation communication: businesses report already-incurred and planned eligible expenses to the Agenzia delle Entrate. For calendar year 2026, this window ran 31 March – 30 May 2026.</w:t>
      </w:r>
    </w:p>
    <w:p>
      <w:pPr>
        <w:pStyle w:val="ListParagraph"/>
        <w:numPr>
          <w:ilvl w:val="0"/>
          <w:numId w:val="2"/>
        </w:numPr>
        <w:spacing w:after="80" w:line="290"/>
      </w:pPr>
      <w:r>
        <w:rPr>
          <w:color w:val="222222"/>
          <w:sz w:val="22"/>
          <w:szCs w:val="22"/>
        </w:rPr>
        <w:t xml:space="preserve">Step 2 — Integrative communication (confirming actual spend): required to avoid forfeiting the benefit, in a window running 3–17 January of the following year (i.e. 3–17 January 2027 for 2026 investments).</w:t>
      </w:r>
    </w:p>
    <w:p>
      <w:pPr>
        <w:pStyle w:val="ListParagraph"/>
        <w:numPr>
          <w:ilvl w:val="0"/>
          <w:numId w:val="2"/>
        </w:numPr>
        <w:spacing w:after="80" w:line="290"/>
      </w:pPr>
      <w:r>
        <w:rPr>
          <w:color w:val="222222"/>
          <w:sz w:val="22"/>
          <w:szCs w:val="22"/>
        </w:rPr>
        <w:t xml:space="preserve">The credit is recognised within 10 days of the integrative communication deadline, via a formal ruling from the Agenzia delle Entrate director, and can then be used exclusively via F24 offset.</w:t>
      </w:r>
    </w:p>
    <w:p>
      <w:pPr>
        <w:pStyle w:val="ListParagraph"/>
        <w:numPr>
          <w:ilvl w:val="0"/>
          <w:numId w:val="2"/>
        </w:numPr>
        <w:spacing w:after="80" w:line="290"/>
      </w:pPr>
      <w:r>
        <w:rPr>
          <w:color w:val="222222"/>
          <w:sz w:val="22"/>
          <w:szCs w:val="22"/>
        </w:rPr>
        <w:t xml:space="preserve">A qualified auditor or accredited firm must certify actual expenses incurred as part of the process.</w:t>
      </w:r>
    </w:p>
    <w:p>
      <w:pPr>
        <w:pStyle w:val="Heading1"/>
        <w:pBdr>
          <w:bottom w:val="single" w:color="0E7C7B" w:sz="6" w:space="4"/>
        </w:pBdr>
        <w:spacing w:after="140" w:before="320"/>
      </w:pPr>
      <w:r>
        <w:rPr>
          <w:b/>
          <w:bCs/>
          <w:color w:val="1B2A4A"/>
          <w:sz w:val="26"/>
          <w:szCs w:val="26"/>
        </w:rPr>
        <w:t xml:space="preserve">6. Suggested Navigator rule mapping</w:t>
      </w:r>
    </w:p>
    <w:p>
      <w:pPr>
        <w:spacing w:after="140" w:line="300"/>
      </w:pPr>
      <w:r>
        <w:rPr>
          <w:color w:val="222222"/>
          <w:sz w:val="22"/>
          <w:szCs w:val="22"/>
        </w:rPr>
        <w:t xml:space="preserve">This maps well to org_type = any (hospital, university, startup, pharma — since eligibility is sector- and location-based, not organisation-type-based, aside from the named exclusions), region = Puglia specifically for the enhanced Taranto rate vs. the general Puglia rate elsewhere in the region, and should include the current-window caveat directly in the Navigator's results copy (not just internally) given the July 2026 window has already closed — this is a case where the Navigator's output needs date-awareness, not just a static eligibility line, to avoid telling someone they can apply 'now' when they can't.</w:t>
      </w:r>
    </w:p>
    <w:p>
      <w:pPr>
        <w:spacing w:after="140" w:line="300"/>
      </w:pPr>
      <w:r>
        <w:rPr>
          <w:color w:val="222222"/>
          <w:sz w:val="22"/>
          <w:szCs w:val="22"/>
        </w:rPr>
        <w:t xml:space="preserve">Given the very high 70% small-enterprise rate specific to Taranto, this is likely one of the single most compelling things bioERGOtech can offer a small partner business physically locating in the Taranto area — worth highlighting prominently once live, with the timing caveat attached.</w:t>
      </w:r>
    </w:p>
    <w:p>
      <w:pPr>
        <w:pStyle w:val="Heading1"/>
        <w:pBdr>
          <w:bottom w:val="single" w:color="0E7C7B" w:sz="6" w:space="4"/>
        </w:pBdr>
        <w:spacing w:after="140" w:before="320"/>
      </w:pPr>
      <w:r>
        <w:rPr>
          <w:b/>
          <w:bCs/>
          <w:color w:val="1B2A4A"/>
          <w:sz w:val="26"/>
          <w:szCs w:val="26"/>
        </w:rPr>
        <w:t xml:space="preserve">7. Sources</w:t>
      </w:r>
    </w:p>
    <w:p>
      <w:pPr>
        <w:spacing w:after="60"/>
      </w:pPr>
      <w:r>
        <w:rPr>
          <w:color w:val="222222"/>
          <w:sz w:val="20"/>
          <w:szCs w:val="20"/>
        </w:rPr>
        <w:t xml:space="preserve">• </w:t>
      </w:r>
      <w:hyperlink w:history="1" r:id="rIdugisj29mtmx3yzksp4j8v">
        <w:r>
          <w:rPr>
            <w:rStyle w:val="Hyperlink"/>
            <w:color w:val="0563C1"/>
            <w:sz w:val="20"/>
            <w:szCs w:val="20"/>
            <w:u w:val="single"/>
          </w:rPr>
          <w:t xml:space="preserve">Agenzia delle Entrate — official ZES Unica 2026 tax credit page</w:t>
        </w:r>
      </w:hyperlink>
    </w:p>
    <w:p>
      <w:pPr>
        <w:spacing w:after="60"/>
      </w:pPr>
      <w:r>
        <w:rPr>
          <w:color w:val="222222"/>
          <w:sz w:val="20"/>
          <w:szCs w:val="20"/>
        </w:rPr>
        <w:t xml:space="preserve">• </w:t>
      </w:r>
      <w:hyperlink w:history="1" r:id="rIdcrfajw_jybg2uod8qy6bv">
        <w:r>
          <w:rPr>
            <w:rStyle w:val="Hyperlink"/>
            <w:color w:val="0563C1"/>
            <w:sz w:val="20"/>
            <w:szCs w:val="20"/>
            <w:u w:val="single"/>
          </w:rPr>
          <w:t xml:space="preserve">Dipartimento per le Politiche di Coesione (Sud) — legal basis and terms</w:t>
        </w:r>
      </w:hyperlink>
    </w:p>
    <w:p>
      <w:pPr>
        <w:spacing w:after="60"/>
      </w:pPr>
      <w:r>
        <w:rPr>
          <w:color w:val="222222"/>
          <w:sz w:val="20"/>
          <w:szCs w:val="20"/>
        </w:rPr>
        <w:t xml:space="preserve">• </w:t>
      </w:r>
      <w:hyperlink w:history="1" r:id="rIdudrm8udwi7dgwet-bu_oe">
        <w:r>
          <w:rPr>
            <w:rStyle w:val="Hyperlink"/>
            <w:color w:val="0563C1"/>
            <w:sz w:val="20"/>
            <w:szCs w:val="20"/>
            <w:u w:val="single"/>
          </w:rPr>
          <w:t xml:space="preserve">BibLus — ZES Unica 2026 rates by region and enterprise size</w:t>
        </w:r>
      </w:hyperlink>
    </w:p>
    <w:p>
      <w:pPr>
        <w:spacing w:after="60"/>
      </w:pPr>
      <w:r>
        <w:rPr>
          <w:color w:val="222222"/>
          <w:sz w:val="20"/>
          <w:szCs w:val="20"/>
        </w:rPr>
        <w:t xml:space="preserve">• </w:t>
      </w:r>
      <w:hyperlink w:history="1" r:id="rIdzqtzza0yleldywxurnsbg">
        <w:r>
          <w:rPr>
            <w:rStyle w:val="Hyperlink"/>
            <w:color w:val="0563C1"/>
            <w:sz w:val="20"/>
            <w:szCs w:val="20"/>
            <w:u w:val="single"/>
          </w:rPr>
          <w:t xml:space="preserve">Ransomtax — ZES Unica 2026 full guide incl. Taranto/Sulcis special rates</w:t>
        </w:r>
      </w:hyperlink>
    </w:p>
    <w:p>
      <w:pPr>
        <w:spacing w:after="60"/>
      </w:pPr>
      <w:r>
        <w:rPr>
          <w:color w:val="222222"/>
          <w:sz w:val="20"/>
          <w:szCs w:val="20"/>
        </w:rPr>
        <w:t xml:space="preserve">• </w:t>
      </w:r>
      <w:hyperlink w:history="1" r:id="rIdgar_i2xj3pomkjk24b8vn">
        <w:r>
          <w:rPr>
            <w:rStyle w:val="Hyperlink"/>
            <w:color w:val="0563C1"/>
            <w:sz w:val="20"/>
            <w:szCs w:val="20"/>
            <w:u w:val="single"/>
          </w:rPr>
          <w:t xml:space="preserve">Corriere di Taranto — Taranto-area ZES results and enhanced rates (18 May 2026)</w:t>
        </w:r>
      </w:hyperlink>
    </w:p>
    <w:p>
      <w:pPr>
        <w:spacing w:after="60"/>
      </w:pPr>
      <w:r>
        <w:rPr>
          <w:color w:val="222222"/>
          <w:sz w:val="20"/>
          <w:szCs w:val="20"/>
        </w:rPr>
        <w:t xml:space="preserve">• </w:t>
      </w:r>
      <w:hyperlink w:history="1" r:id="rIdp05ar4y7h84-bvatyhzsl">
        <w:r>
          <w:rPr>
            <w:rStyle w:val="Hyperlink"/>
            <w:color w:val="0563C1"/>
            <w:sz w:val="20"/>
            <w:szCs w:val="20"/>
            <w:u w:val="single"/>
          </w:rPr>
          <w:t xml:space="preserve">ReteAgevolazioni — ZES Unica 2026 mechanics, claw-back and usage rules</w:t>
        </w:r>
      </w:hyperlink>
    </w:p>
    <w:p>
      <w:pPr>
        <w:spacing w:after="60"/>
      </w:pPr>
      <w:r>
        <w:rPr>
          <w:color w:val="222222"/>
          <w:sz w:val="20"/>
          <w:szCs w:val="20"/>
        </w:rPr>
        <w:t xml:space="preserve">• </w:t>
      </w:r>
      <w:hyperlink w:history="1" r:id="rIdy-rmjjk9n1bvirzcbs24a">
        <w:r>
          <w:rPr>
            <w:rStyle w:val="Hyperlink"/>
            <w:color w:val="0563C1"/>
            <w:sz w:val="20"/>
            <w:szCs w:val="20"/>
            <w:u w:val="single"/>
          </w:rPr>
          <w:t xml:space="preserve">Finanziamenti Puglia — ZES credit d'imposta, Taranto 70% rate confirmation</w:t>
        </w:r>
      </w:hyperlink>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gisj29mtmx3yzksp4j8v" Type="http://schemas.openxmlformats.org/officeDocument/2006/relationships/hyperlink" Target="https://www.agenziaentrate.gov.it/portale/credito-d-imposta-per-investimenti-nella-zes-unica-zes-2026-/che-cos-imprese" TargetMode="External"/><Relationship Id="rIdcrfajw_jybg2uod8qy6bv" Type="http://schemas.openxmlformats.org/officeDocument/2006/relationships/hyperlink" Target="https://www.dipartimentosud.gov.it/it/credito-di-imposta/" TargetMode="External"/><Relationship Id="rIdudrm8udwi7dgwet-bu_oe" Type="http://schemas.openxmlformats.org/officeDocument/2006/relationships/hyperlink" Target="https://biblus.acca.it/credito-di-imposta-zes-unica/" TargetMode="External"/><Relationship Id="rIdzqtzza0yleldywxurnsbg" Type="http://schemas.openxmlformats.org/officeDocument/2006/relationships/hyperlink" Target="https://www.ransomtax.it/finanza-agevolata/zes-unica-2026-tutte-le-informazioni/" TargetMode="External"/><Relationship Id="rIdgar_i2xj3pomkjk24b8vn" Type="http://schemas.openxmlformats.org/officeDocument/2006/relationships/hyperlink" Target="https://www.corriereditaranto.it/2026/05/18/zes-unica-dati-positivi-per-taranto-e-la-puglia/" TargetMode="External"/><Relationship Id="rIdp05ar4y7h84-bvatyhzsl" Type="http://schemas.openxmlformats.org/officeDocument/2006/relationships/hyperlink" Target="https://www.reteagevolazioni.it/credito-imposta-zes-unica/" TargetMode="External"/><Relationship Id="rIdy-rmjjk9n1bvirzcbs24a" Type="http://schemas.openxmlformats.org/officeDocument/2006/relationships/hyperlink" Target="https://www.finanziamenti.puglia.it/2026/02/03/zes-credito-di-imposta/"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2026-07-15T15:08:01.581Z</dcterms:created>
  <dcterms:modified xsi:type="dcterms:W3CDTF">2026-07-15T15:08:01.581Z</dcterms:modified>
</cp:coreProperties>
</file>

<file path=docProps/custom.xml><?xml version="1.0" encoding="utf-8"?>
<Properties xmlns="http://schemas.openxmlformats.org/officeDocument/2006/custom-properties" xmlns:vt="http://schemas.openxmlformats.org/officeDocument/2006/docPropsVTypes"/>
</file>