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48080B1">
      <w:pPr>
        <w:pStyle w:val="Title"/>
        <w:jc w:val="left"/>
      </w:pPr>
      <w:r>
        <w:rPr>
          <w:rFonts w:ascii="Calibri" w:hAnsi="Calibri" w:eastAsia="ＭＳ ゴシック" w:cs="Calibri" w:asciiTheme="majorHAnsi" w:hAnsiTheme="majorHAnsi" w:eastAsiaTheme="majorEastAsia"/>
          <w:color w:val="17365D" w:themeColor="text2" w:themeShade="BF"/>
          <w:spacing w:val="5"/>
          <w:kern w:val="28"/>
          <w:sz w:val="52"/>
          <w:szCs w:val="52"/>
        </w:rPr>
        <w:t>Especificação SDD TaskAnalyzer - Guilherme Fernades Monteiro</w:t>
      </w:r>
    </w:p>
    <w:p w14:paraId="53CA738A">
      <w:pPr>
        <w:spacing w:after="200" w:line="276" w:lineRule="auto"/>
      </w:pPr>
      <w:r>
        <w:rPr>
          <w:rFonts w:ascii="Calibri" w:hAnsi="Calibri" w:eastAsia="ＭＳ 明朝" w:cs="Calibri" w:eastAsiaTheme="minorEastAsia"/>
          <w:i/>
          <w:iCs/>
          <w:color w:val="444444"/>
          <w:sz w:val="24"/>
          <w:szCs w:val="22"/>
        </w:rPr>
        <w:t>Bootcamp III — Especificação Técnica e Governança de Contexto (SDD &amp; AI Harness) — Fase 1</w:t>
      </w:r>
    </w:p>
    <w:p w14:paraId="6745814F">
      <w:pPr>
        <w:spacing w:after="200" w:line="276" w:lineRule="auto"/>
      </w:pPr>
    </w:p>
    <w:p w14:paraId="5A86368D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1. Visão Geral e Contrato de Negócio (SDD)</w:t>
      </w:r>
    </w:p>
    <w:p w14:paraId="1BF97F9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1.1 Identificação</w:t>
      </w:r>
    </w:p>
    <w:p w14:paraId="73B3589A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Nome completo: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Guilherme Fernades Monteiro</w:t>
      </w:r>
    </w:p>
    <w:p w14:paraId="278F8E9F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RA (Registro Acadêmico):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22403229</w:t>
      </w:r>
    </w:p>
    <w:p w14:paraId="4DF85633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Curso: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Ciência de Dados &amp; Machine Learning</w:t>
      </w:r>
    </w:p>
    <w:p w14:paraId="1B662BC5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Polo/Turma: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EAD — Disciplina Virtual (DV)</w:t>
      </w:r>
    </w:p>
    <w:p w14:paraId="54FC69E2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E-mail institucional: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guimonteiro@sempreceub.com</w:t>
      </w:r>
    </w:p>
    <w:p w14:paraId="4A9C7519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>Versão da especificação: 1.0 — Data de elaboração: 13/09/26</w:t>
      </w:r>
    </w:p>
    <w:p w14:paraId="42C9AE5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1.2 Propósito do Módulo TaskAnalyzer</w:t>
      </w:r>
    </w:p>
    <w:p w14:paraId="73BB800C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>O TaskAnalyzer é um módulo avançado de métricas e produtividade que analisa um conjunto de tarefas e calcula indicadores de desempenho da execução do trabalho. Seu escopo abrange o cálculo do tempo médio de conclusão das tarefas, a taxa de atraso em relação ao prazo estabelecido e a geração de indicadores agregados por nível de prioridade (baixa, média e alta). O objetivo é transformar dados brutos de tarefas em métricas objetivas que apoiem a tomada de decisão sobre produtividade individual ou de equipe.</w:t>
      </w:r>
    </w:p>
    <w:p w14:paraId="71D0EB7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1.3 Contrato Executável de Interface</w:t>
      </w:r>
    </w:p>
    <w:p w14:paraId="0A461E9E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>1.3.1 Entradas (Inputs)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351"/>
        <w:gridCol w:w="2351"/>
        <w:gridCol w:w="2351"/>
        <w:gridCol w:w="2351"/>
      </w:tblGrid>
      <w:t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4472C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165BC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4472C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C9B0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4472C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1641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b/>
                <w:bCs/>
                <w:color w:val="FFFFFF"/>
                <w:sz w:val="22"/>
                <w:szCs w:val="22"/>
              </w:rPr>
              <w:t>Obrigatório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4472C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BDA0E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b/>
                <w:bCs/>
                <w:color w:val="FFFFFF"/>
                <w:sz w:val="22"/>
                <w:szCs w:val="22"/>
              </w:rPr>
              <w:t>Descrição / Restrições</w:t>
            </w:r>
          </w:p>
        </w:tc>
      </w:tr>
      <w:t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B681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id_tarefa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17274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8794E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Sim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2E92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Identificador único da tarefa (&gt; 0).</w:t>
            </w:r>
          </w:p>
        </w:tc>
      </w:tr>
      <w:t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4CA8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data_criacao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03D7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datetime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87C3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Sim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26C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Data/hora da criação da tarefa (UTC).</w:t>
            </w:r>
          </w:p>
        </w:tc>
      </w:tr>
      <w:t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0EB45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data_inicio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E376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datetime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CFB8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Não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FD5E5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Data/hora de início da execução.</w:t>
            </w:r>
          </w:p>
        </w:tc>
      </w:tr>
      <w:t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0C22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data_conclusao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C565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datetime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D672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Não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FB11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Data/hora de conclusão da tarefa.</w:t>
            </w:r>
          </w:p>
        </w:tc>
      </w:tr>
      <w:t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A713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prazo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1288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datetime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7F573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Sim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496C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Data/hora limite para conclusão.</w:t>
            </w:r>
          </w:p>
        </w:tc>
      </w:tr>
      <w:t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872A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prioridade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5CBC5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str (enum)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261B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Sim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8C95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Valores aceitos: baixa, média, alta.</w:t>
            </w:r>
          </w:p>
        </w:tc>
      </w:tr>
      <w:t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E88B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status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6000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str (enum)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CB14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Sim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8564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Valores aceitos: concluído, pendente, cancelado.</w:t>
            </w:r>
          </w:p>
        </w:tc>
      </w:tr>
    </w:tbl>
    <w:p w14:paraId="4FEE283C">
      <w:pPr>
        <w:spacing w:after="200" w:line="276" w:lineRule="auto"/>
      </w:pPr>
    </w:p>
    <w:p w14:paraId="09813B47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>1.3.2 Saídas (Outputs)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135"/>
        <w:gridCol w:w="3135"/>
        <w:gridCol w:w="3135"/>
      </w:tblGrid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4472C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4E48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4472C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30E4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4472C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9166E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8779C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tempo_medio_conclusao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C530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float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DDE0E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Tempo médio de conclusão em minutos/horas, por prioridade e geral.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F2AD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taxa_atraso_percentual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7B32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float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4EF8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Percentual de tarefas concluídas com atraso, por prioridade e geral.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DCCB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quantidade_tarefas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C119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int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2378C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Total de tarefas analisadas por prioridade (apenas válidas).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07BEE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indicadores_por_prioridade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CF47C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dict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71AA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Estrutura consolidando as métricas acima agrupadas por prioridade (baixa, média, alta).</w:t>
            </w:r>
          </w:p>
        </w:tc>
      </w:tr>
    </w:tbl>
    <w:p w14:paraId="0D7A9C60">
      <w:pPr>
        <w:spacing w:after="200" w:line="276" w:lineRule="auto"/>
      </w:pPr>
    </w:p>
    <w:p w14:paraId="5F10D6B3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>1.3.3 Regras de Negócio e Restrições</w:t>
      </w:r>
    </w:p>
    <w:p w14:paraId="7FD37A9A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Considerar apenas tarefas com status "concluído" para o cálculo de tempo médio de conclusão.</w:t>
      </w:r>
    </w:p>
    <w:p w14:paraId="6C660556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O tempo de conclusão é calculado como a diferença entre data_conclusao e data_inicio.</w:t>
      </w:r>
    </w:p>
    <w:p w14:paraId="37C0C069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Tarefas com status "cancelado" devem ser ignoradas em todos os indicadores.</w:t>
      </w:r>
    </w:p>
    <w:p w14:paraId="15F3B30A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Dividir tarefas por prioridade sempre que o indicador for calculado por categoria.</w:t>
      </w:r>
    </w:p>
    <w:p w14:paraId="505EC8C1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Tratar todas as datas no fuso horário UTC, sem exceções.</w:t>
      </w:r>
    </w:p>
    <w:p w14:paraId="324D01CF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Registrar como exceção qualquer entrada com data_conclusao anterior à data_inicio.</w:t>
      </w:r>
    </w:p>
    <w:p w14:paraId="172EB76E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2. Especificação de Cenários de Aceite e Test Harness</w:t>
      </w:r>
    </w:p>
    <w:p w14:paraId="760ED72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2.1 Cenários de Aceite (Dado – Quando – Então)</w:t>
      </w:r>
    </w:p>
    <w:p w14:paraId="502E0CC5">
      <w:pPr>
        <w:spacing w:after="200" w:line="276" w:lineRule="auto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Cenário 1 — Sucesso (Métricas corretas)</w:t>
      </w:r>
    </w:p>
    <w:p w14:paraId="3AACDBBD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Dado: um conjunto de tarefas válidas, com prioridades, prazos e status (concluídas e pendentes).</w:t>
      </w:r>
    </w:p>
    <w:p w14:paraId="2A50FF7F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Quando: o analisador de tarefas for executado.</w:t>
      </w:r>
    </w:p>
    <w:p w14:paraId="735896E7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Então: as métricas retornadas devem estar corretas, incluindo o tempo médio de conclusão por prioridade e geral, a taxa de atraso por prioridade e geral, e a quantidade de tarefas correta por prioridade.</w:t>
      </w:r>
    </w:p>
    <w:p w14:paraId="172667A1">
      <w:pPr>
        <w:spacing w:after="200" w:line="276" w:lineRule="auto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Cenário 2 — Exceção/Erro (Entradas inválidas)</w:t>
      </w:r>
    </w:p>
    <w:p w14:paraId="4A14E4D3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Dado: uma entrada com datas inválidas (ex.: data de conclusão anterior à data de início) ou uma divisão por zero (nenhuma tarefa concluída para calcular a taxa de atraso).</w:t>
      </w:r>
    </w:p>
    <w:p w14:paraId="2D31F133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Quando: o analisador de tarefas for executado.</w:t>
      </w:r>
    </w:p>
    <w:p w14:paraId="1BD8D73A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Então: o sistema deve disparar uma exceção específica e tratada, com mensagem clara e objetiva ao usuário.</w:t>
      </w:r>
    </w:p>
    <w:p w14:paraId="4B319F3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2.2 Planejamento do Test Harness</w:t>
      </w:r>
    </w:p>
    <w:p w14:paraId="23DE1C28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>Os cenários de aceite descritos acima serão a base para a criação de testes automatizados com pytest na Fase 2, seguindo o fluxo: (1) os Cenários de Aceite descrevem o comportamento esperado do sistema e servem como referência para cada caso de teste; (2) os Casos de Teste decompõem cada cenário em casos específicos, definindo fixtures com dados de entrada preparados; (3) os Testes Automatizados implementam esses casos em pytest, validando entradas, saídas e exceções; (4) a Execução e Validação roda os testes automaticamente a cada alteração no código; e (5) os Relatórios e Evidências geram um relatório de cobertura, garantindo rastreabilidade entre cada cenário e o teste correspondente.</w:t>
      </w:r>
    </w:p>
    <w:p w14:paraId="41EA2FBC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3. Governança de Contexto e Regras para Agentes de IA (CONTEXT_RULES)</w:t>
      </w:r>
    </w:p>
    <w:p w14:paraId="15C8341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3.1 Diretrizes Arquiteturais (Obrigatórias)</w:t>
      </w:r>
    </w:p>
    <w:p w14:paraId="68BBD315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Utilizar Python 3.11 ou versão superior como mínimo obrigatório.</w:t>
      </w:r>
    </w:p>
    <w:p w14:paraId="708C8A40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Utilizar type hints (anotações de tipo) em todas as funções e métodos.</w:t>
      </w:r>
    </w:p>
    <w:p w14:paraId="641489C4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Seguir o princípio Single Responsibility (SRP) e o padrão de código limpo PEP 8.</w:t>
      </w:r>
    </w:p>
    <w:p w14:paraId="3E958689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Adotar documentação formal no padrão Google style docstrings para módulos, classes, funções e parâmetros.</w:t>
      </w:r>
    </w:p>
    <w:p w14:paraId="5DD9C8E4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Manter funções pequenas, coesas e com um único propósito.</w:t>
      </w:r>
    </w:p>
    <w:p w14:paraId="07FA0AAD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Tratar exceções de forma específica, com mensagens claras ao usuário.</w:t>
      </w:r>
    </w:p>
    <w:p w14:paraId="55A23668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Utilizar logs estruturados com o módulo padrão logging.</w:t>
      </w:r>
    </w:p>
    <w:p w14:paraId="7D9B2D1E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Escrever código legível, manutenível e com nomes de variáveis e funções descritivos.</w:t>
      </w:r>
    </w:p>
    <w:p w14:paraId="7FB0CC4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3.2 Proibições Explícitas (Regras Restritivas)</w:t>
      </w:r>
    </w:p>
    <w:p w14:paraId="654AFA37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Não utilizar bibliotecas externas não autorizadas.</w:t>
      </w:r>
    </w:p>
    <w:p w14:paraId="22E2C6F6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Não alterar, remover ou adaptar os cenários de teste fornecidos nesta especificação.</w:t>
      </w:r>
    </w:p>
    <w:p w14:paraId="060A59F2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Não modificar a estrutura de pastas definida nesta especificação.</w:t>
      </w:r>
    </w:p>
    <w:p w14:paraId="780345C5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Não persistir dados em arquivos ou bancos de dados.</w:t>
      </w:r>
    </w:p>
    <w:p w14:paraId="768F9BF5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Não alterar a assinatura (nome e parâmetros) das funções públicas sem autorização.</w:t>
      </w:r>
    </w:p>
    <w:p w14:paraId="1B09A3AC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Não gerar código sem testes correspondentes para as novas funcionalidades.</w:t>
      </w:r>
    </w:p>
    <w:p w14:paraId="5F2FBD7D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Não inserir código duplicado ou sem necessidade.</w:t>
      </w:r>
    </w:p>
    <w:p w14:paraId="55BC9F5E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Não assumir comportamentos não especificados no contrato de negócio.</w:t>
      </w:r>
    </w:p>
    <w:p w14:paraId="15D9A44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3.3 Regras de Interação com IA</w:t>
      </w:r>
    </w:p>
    <w:p w14:paraId="0558658C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Fornecer sempre o contexto completo antes de solicitar qualquer geração de código à IA.</w:t>
      </w:r>
    </w:p>
    <w:p w14:paraId="02A1FDDA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Validar se a IA compreendeu corretamente o contrato de negócio e os cenários antes da geração.</w:t>
      </w:r>
    </w:p>
    <w:p w14:paraId="362FD392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Solicitar explicações objetivas sobre qualquer decisão técnica proposta pela IA.</w:t>
      </w:r>
    </w:p>
    <w:p w14:paraId="2814D34E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Revisar criticamente todo código gerado, nunca aceitando automaticamente.</w:t>
      </w:r>
    </w:p>
    <w:p w14:paraId="53D3B1BB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Rejeitar e solicitar correção de qualquer resposta que viole as proibições definidas neste documento.</w:t>
      </w:r>
    </w:p>
    <w:p w14:paraId="1B6FA752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>Essas regras compõem o arquivo CONTEXT_RULES.md, que será a fonte de verdade fornecida aos assistentes de IA durante a Fase 2 do projeto.</w:t>
      </w:r>
    </w:p>
    <w:p w14:paraId="0524DC7D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4. Arquitetura do Repositório e Preparação para Git/GitHub</w:t>
      </w:r>
    </w:p>
    <w:p w14:paraId="4192585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4.1 Desenho da Árvore do Repositório (Fase 2)</w:t>
      </w:r>
    </w:p>
    <w:p w14:paraId="0B24487C">
      <w:pPr>
        <w:spacing w:before="80" w:after="80"/>
      </w:pPr>
      <w:r>
        <w:rPr>
          <w:rFonts w:ascii="Consolas" w:hAnsi="Consolas" w:eastAsia="ＭＳ 明朝" w:cs="Consolas" w:eastAsiaTheme="minorEastAsia"/>
          <w:sz w:val="20"/>
          <w:szCs w:val="22"/>
        </w:rPr>
        <w:t>sdd-task-analyzer/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 xml:space="preserve">├── README.md                    # Visão geral do projeto no GitHub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 xml:space="preserve">├── CONTEXT_RULES.md              # Regras persistentes para a IA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>├── specs/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 xml:space="preserve">│   └── task_analyzer_spec.md     # Especificação SDD (baseada nesta Fase 1)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>├── tests/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 xml:space="preserve">│   └── test_harness.py           # Testes automatizados (pytest)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>├── src/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 xml:space="preserve">│   └── task_analyzer.py          # Código gerado via IA e homologado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 xml:space="preserve">├── .gitignore                    # Arquivos e diretórios ignorados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 xml:space="preserve">└── requirements.txt              # Dependências autorizadas</w:t>
      </w:r>
    </w:p>
    <w:p w14:paraId="04EE517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4.2 Plano de Homologação Humana</w:t>
      </w:r>
    </w:p>
    <w:p w14:paraId="2CE3F8A5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>Na Fase 2, todo código gerado pela IA passará por uma revisão crítica humana antes de ser aceito e versionado, seguindo cinco passos: (1) execução completa dos testes automatizados para validação funcional; (2) revisão de conformidade com o Contrato de Negócio e com as CONTEXT_RULES; (3) análise de qualidade de código, legibilidade, tratamento de erros e aderência aos padrões definidos; (4) testes manuais complementares em casos de borda; e (5) somente após a aprovação em todas as etapas anteriores, o código será commitado no repositório. Esse processo garante que a IA seja utilizada como ferramenta produtiva, mas que a decisão final e a responsabilidade técnica permaneçam sempre humanas.</w:t>
      </w:r>
    </w:p>
    <w:p w14:paraId="3EBA5D2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4.3 Estratégia de Versionamento (Fase 2)</w:t>
      </w:r>
    </w:p>
    <w:p w14:paraId="1B0891EC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Fluxo de Git simplificado com os branches main, develop e feature/*.</w:t>
      </w:r>
    </w:p>
    <w:p w14:paraId="7E35D63A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Commits pequenos e descritivos, cada um representando uma unidade lógica de mudança.</w:t>
      </w:r>
    </w:p>
    <w:p w14:paraId="071871A7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Abertura de Pull Requests para toda nova funcionalidade, antes de qualquer merge na branch principal.</w:t>
      </w:r>
    </w:p>
    <w:p w14:paraId="1C6984A8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Revisões obrigatórias antes de qualquer merge, seguindo o Plano de Homologação Humana.</w:t>
      </w:r>
    </w:p>
    <w:p w14:paraId="736C03B3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Uso de tags para marcar releases importantes do projeto TaskAnalyzer.</w:t>
      </w:r>
    </w:p>
    <w:p w14:paraId="4BB4B42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5. Link da Apresentação em Vídeo</w:t>
      </w:r>
    </w:p>
    <w:p w14:paraId="3F38C401">
      <w:pPr>
        <w:spacing w:after="200" w:line="276" w:lineRule="auto"/>
      </w:pPr>
      <w:hyperlink r:id="rId9">
        <w:r>
          <w:rPr>
            <w:rFonts w:ascii="Calibri" w:cs="Calibri"/>
            <w:sz w:val="22"/>
            <w:szCs w:val="22"/>
          </w:rPr>
          <w:t>https://youtu.be/GX5s09DNRtI</w:t>
        </w:r>
      </w:hyperlink>
    </w:p>
    <w:sectPr>
      <w:pgSz w:w="12240" w:h="15840"/>
      <w:pgMar w:top="1134" w:right="1417" w:bottom="1134" w:left="1417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tu.be/GX5s09DNR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2026-09-13T18:28:31.611Z</dcterms:modified>
  <cp:category/>
</cp:coreProperties>
</file>