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Regras do Pipeline Spot Taxas B3 — Guia de Entendimento</w:t>
      </w:r>
    </w:p>
    <w:p>
      <w:pPr>
        <w:pStyle w:val="IntenseQuote"/>
      </w:pPr>
      <w:r>
        <w:t xml:space="preserve">Documento de apoio para quem já conhece o domínio (câmbio, B3, PTAX) e quer entender rapidamente o que o pipeline faz e como ele faz, sem precisar ler o código. Reflete o comportamento </w:t>
      </w:r>
      <w:r>
        <w:rPr>
          <w:b/>
        </w:rPr>
        <w:t>real e validado</w:t>
      </w:r>
      <w:r>
        <w:t xml:space="preserve"> do pipeline (rodado contra dados de produção em 2026-06-05), não apenas o que estava planejado no PRD original.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1. O que o pipeline faz, em uma frase</w:t>
      </w:r>
    </w:p>
    <w:p>
      <w:r>
        <w:t>Todo dia (depois das 19h BRT), o pipeline baixa o arquivo de indicadores da B3, extrai a</w:t>
      </w:r>
    </w:p>
    <w:p>
      <w:r>
        <w:t>cotação spot de 42 moedas contra o real, busca a PTAX de fechamento do BACEN para essas</w:t>
      </w:r>
    </w:p>
    <w:p>
      <w:r>
        <w:t>mesmas moedas, calcula o spread entre as duas fontes e gera uma planilha Excel comparativa</w:t>
      </w:r>
    </w:p>
    <w:p>
      <w:r>
        <w:t>pronta para conciliação/auditoria.</w:t>
      </w:r>
    </w:p>
    <w:p>
      <w:r>
        <w:rPr>
          <w:rFonts w:ascii="Courier New" w:hAnsi="Courier New"/>
          <w:sz w:val="18"/>
        </w:rPr>
        <w:t>B3 (Indic.txt)  ──┐</w:t>
        <w:br/>
        <w:t xml:space="preserve">                  ├──► merge por moeda ──► spread % ──► Excel</w:t>
        <w:br/>
        <w:t>BACEN (PTAX)    ──┘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2. O fluxo passo a passo</w:t>
      </w:r>
    </w:p>
    <w:p>
      <w:pPr>
        <w:pStyle w:val="Heading3"/>
      </w:pPr>
      <w:r>
        <w:t>Passo 1 — Determinar a "data de referência" (data D)</w:t>
      </w:r>
    </w:p>
    <w:p>
      <w:pPr>
        <w:pStyle w:val="ListBullet"/>
      </w:pPr>
      <w:r>
        <w:t xml:space="preserve">O pipeline sempre roda "para hoje", mas </w:t>
      </w:r>
      <w:r>
        <w:rPr>
          <w:b/>
        </w:rPr>
        <w:t>nem todo dia tem pregão</w:t>
      </w:r>
      <w:r>
        <w:t>.</w:t>
      </w:r>
    </w:p>
    <w:p>
      <w:pPr>
        <w:pStyle w:val="ListBullet"/>
      </w:pPr>
      <w:r>
        <w:t xml:space="preserve">Antes de qualquer coisa, ele resolve qual é o último </w:t>
      </w:r>
      <w:r>
        <w:rPr>
          <w:b/>
        </w:rPr>
        <w:t>dia útil</w:t>
      </w:r>
      <w:r>
        <w:t xml:space="preserve"> (consulta a lista de</w:t>
      </w:r>
    </w:p>
    <w:p>
      <w:r>
        <w:t>feriados nacionais — ver regra R9). Esse é o "dia D" usado em todas as etapas seguintes.</w:t>
      </w:r>
    </w:p>
    <w:p>
      <w:pPr>
        <w:pStyle w:val="ListBullet"/>
      </w:pPr>
      <w:r>
        <w:rPr>
          <w:b/>
        </w:rPr>
        <w:t>Nunca usa D-1</w:t>
      </w:r>
      <w:r>
        <w:t xml:space="preserve"> como fallback "de propósito" — D-1 só aparece se hoje cair em</w:t>
      </w:r>
    </w:p>
    <w:p>
      <w:r>
        <w:t xml:space="preserve">fim de semana/feriado, caso em que o último dia útil </w:t>
      </w:r>
      <w:r>
        <w:rPr>
          <w:i/>
        </w:rPr>
        <w:t>é</w:t>
      </w:r>
      <w:r>
        <w:t xml:space="preserve"> D-1 (ou anterior).</w:t>
      </w:r>
    </w:p>
    <w:p>
      <w:pPr>
        <w:pStyle w:val="Heading3"/>
      </w:pPr>
      <w:r>
        <w:t>Passo 2 — Baixar e abrir o arquivo da B3</w:t>
      </w:r>
    </w:p>
    <w:p>
      <w:pPr>
        <w:pStyle w:val="ListBullet"/>
      </w:pPr>
      <w:r>
        <w:t xml:space="preserve">A B3 disponibiliza um arquivo </w:t>
      </w:r>
      <w:r>
        <w:rPr>
          <w:rFonts w:ascii="Courier New" w:hAnsi="Courier New"/>
        </w:rPr>
        <w:t>ID{AAMMDD}.ex_</w:t>
      </w:r>
      <w:r>
        <w:t xml:space="preserve"> por dia, baixado de</w:t>
      </w:r>
    </w:p>
    <w:p>
      <w:r>
        <w:rPr>
          <w:rFonts w:ascii="Courier New" w:hAnsi="Courier New"/>
        </w:rPr>
        <w:t>b3.com.br/pesquisapregao/download</w:t>
      </w:r>
      <w:r>
        <w:t>.</w:t>
      </w:r>
    </w:p>
    <w:p>
      <w:pPr>
        <w:pStyle w:val="ListBullet"/>
      </w:pPr>
      <w:r>
        <w:rPr>
          <w:b/>
        </w:rPr>
        <w:t>Detalhe que pegou todo mundo de surpresa:</w:t>
      </w:r>
      <w:r>
        <w:t xml:space="preserve"> esse </w:t>
      </w:r>
      <w:r>
        <w:rPr>
          <w:rFonts w:ascii="Courier New" w:hAnsi="Courier New"/>
        </w:rPr>
        <w:t>.ex_</w:t>
      </w:r>
      <w:r>
        <w:t xml:space="preserve"> não é o arquivo de texto</w:t>
      </w:r>
    </w:p>
    <w:p>
      <w:r>
        <w:t>diretamente — é um ZIP, e dentro dele tem **outro arquivo compactado autoextraível</w:t>
      </w:r>
    </w:p>
    <w:p>
      <w:r>
        <w:t xml:space="preserve">(formato PKSFX/.exe do Windows)**, que por sua vez contém o </w:t>
      </w:r>
      <w:r>
        <w:rPr>
          <w:rFonts w:ascii="Courier New" w:hAnsi="Courier New"/>
        </w:rPr>
        <w:t>Indic.txt</w:t>
      </w:r>
      <w:r>
        <w:t xml:space="preserve"> de verdade.</w:t>
      </w:r>
    </w:p>
    <w:p>
      <w:r>
        <w:t xml:space="preserve">Ou seja: ZIP → SFX → </w:t>
      </w:r>
      <w:r>
        <w:rPr>
          <w:rFonts w:ascii="Courier New" w:hAnsi="Courier New"/>
        </w:rPr>
        <w:t>Indic.txt</w:t>
      </w:r>
      <w:r>
        <w:t>. O pipeline abre as duas camadas em memória</w:t>
      </w:r>
    </w:p>
    <w:p>
      <w:r>
        <w:t>(sem gravar a camada intermediária em disco) para não correr o risco de o arquivo</w:t>
      </w:r>
    </w:p>
    <w:p>
      <w:r>
        <w:t>intermediário sobrescrever o arquivo original durante a extração.</w:t>
      </w:r>
    </w:p>
    <w:p>
      <w:pPr>
        <w:pStyle w:val="ListBullet"/>
      </w:pPr>
      <w:r>
        <w:t>O servidor da B3 também é instável: às vezes devolve uma resposta "200 OK" mas vazia.</w:t>
      </w:r>
    </w:p>
    <w:p>
      <w:r>
        <w:t>O pipeline valida que o conteúdo baixado realmente começa com a assinatura de um ZIP</w:t>
      </w:r>
    </w:p>
    <w:p>
      <w:r>
        <w:t>(</w:t>
      </w:r>
      <w:r>
        <w:rPr>
          <w:rFonts w:ascii="Courier New" w:hAnsi="Courier New"/>
        </w:rPr>
        <w:t>PK</w:t>
      </w:r>
      <w:r>
        <w:t>) e tenta de novo se não for o caso.</w:t>
      </w:r>
    </w:p>
    <w:p>
      <w:pPr>
        <w:pStyle w:val="Heading3"/>
      </w:pPr>
      <w:r>
        <w:t>Passo 3 — Ler o arquivo posicional `Indic.txt`</w:t>
      </w:r>
    </w:p>
    <w:p>
      <w:pPr>
        <w:pStyle w:val="ListBullet"/>
      </w:pPr>
      <w:r>
        <w:t>Formato de largura fixa (uma linha por instrumento/data). Os campos relevantes são: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Posição (0-indexed)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[6:11]</w:t>
            </w:r>
          </w:p>
        </w:tc>
        <w:tc>
          <w:tcPr>
            <w:tcW w:type="dxa" w:w="2880"/>
          </w:tcPr>
          <w:p>
            <w:r>
              <w:t>código do registro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00101</w:t>
            </w:r>
            <w:r>
              <w:t xml:space="preserve"> (só processamos esse tipo)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[11:19]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20260605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[19:21]</w:t>
            </w:r>
          </w:p>
        </w:tc>
        <w:tc>
          <w:tcPr>
            <w:tcW w:type="dxa" w:w="2880"/>
          </w:tcPr>
          <w:p>
            <w:r>
              <w:t>tipo do instrumento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RT</w:t>
            </w:r>
            <w:r>
              <w:t xml:space="preserve">, </w:t>
            </w:r>
            <w:r>
              <w:rPr>
                <w:rFonts w:ascii="Courier New" w:hAnsi="Courier New"/>
              </w:rPr>
              <w:t>TX</w:t>
            </w:r>
            <w:r>
              <w:t xml:space="preserve">, </w:t>
            </w:r>
            <w:r>
              <w:rPr>
                <w:rFonts w:ascii="Courier New" w:hAnsi="Courier New"/>
              </w:rPr>
              <w:t>BT</w:t>
            </w:r>
            <w: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[21:46]</w:t>
            </w:r>
          </w:p>
        </w:tc>
        <w:tc>
          <w:tcPr>
            <w:tcW w:type="dxa" w:w="2880"/>
          </w:tcPr>
          <w:p>
            <w:r>
              <w:t>nome do instrumento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RTDOL-D1</w:t>
            </w:r>
            <w:r>
              <w:t xml:space="preserve">, </w:t>
            </w:r>
            <w:r>
              <w:rPr>
                <w:rFonts w:ascii="Courier New" w:hAnsi="Courier New"/>
              </w:rPr>
              <w:t>TXJPY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[46:]</w:t>
            </w:r>
          </w:p>
        </w:tc>
        <w:tc>
          <w:tcPr>
            <w:tcW w:type="dxa" w:w="2880"/>
          </w:tcPr>
          <w:p>
            <w:r>
              <w:t>valor numérico codificado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+00000000000000000005078504</w:t>
            </w:r>
          </w:p>
        </w:tc>
      </w:tr>
    </w:tbl>
    <w:p>
      <w:pPr>
        <w:pStyle w:val="ListBullet"/>
      </w:pPr>
      <w:r>
        <w:t xml:space="preserve">O arquivo traz </w:t>
      </w:r>
      <w:r>
        <w:rPr>
          <w:b/>
        </w:rPr>
        <w:t>duas datas</w:t>
      </w:r>
      <w:r>
        <w:t xml:space="preserve"> (geralmente D e D-1, lado a lado). O pipeline filtra</w:t>
      </w:r>
    </w:p>
    <w:p>
      <w:r>
        <w:t xml:space="preserve">e mantém apenas as linhas da </w:t>
      </w:r>
      <w:r>
        <w:rPr>
          <w:b/>
        </w:rPr>
        <w:t>data mais recente presente no arquivo</w:t>
      </w:r>
      <w:r>
        <w:t xml:space="preserve"> (regra R1).</w:t>
      </w:r>
    </w:p>
    <w:p>
      <w:pPr>
        <w:pStyle w:val="Heading3"/>
      </w:pPr>
      <w:r>
        <w:t>Passo 4 — Decodificar o valor numérico</w:t>
      </w:r>
    </w:p>
    <w:p>
      <w:pPr>
        <w:pStyle w:val="ListBullet"/>
      </w:pPr>
      <w:r>
        <w:t xml:space="preserve">O campo de valor é tipo </w:t>
      </w:r>
      <w:r>
        <w:rPr>
          <w:rFonts w:ascii="Courier New" w:hAnsi="Courier New"/>
        </w:rPr>
        <w:t>+00000000000000000005078504</w:t>
      </w:r>
      <w:r>
        <w:t>.</w:t>
      </w:r>
    </w:p>
    <w:p>
      <w:pPr>
        <w:pStyle w:val="ListBullet"/>
      </w:pPr>
      <w:r>
        <w:rPr>
          <w:b/>
        </w:rPr>
        <w:t>Os dois últimos dígitos indicam quantas casas decimais o número tem</w:t>
      </w:r>
      <w:r>
        <w:t xml:space="preserve"> (regra R2).</w:t>
      </w:r>
    </w:p>
    <w:p>
      <w:pPr>
        <w:pStyle w:val="ListBullet"/>
      </w:pPr>
      <w:r>
        <w:t xml:space="preserve">Fórmula: </w:t>
      </w:r>
      <w:r>
        <w:rPr>
          <w:rFonts w:ascii="Courier New" w:hAnsi="Courier New"/>
        </w:rPr>
        <w:t>valor = inteiro_sem_os_2_últimos_dígitos / 10^(últimos_2_dígitos)</w:t>
      </w:r>
    </w:p>
    <w:p>
      <w:pPr>
        <w:pStyle w:val="ListBullet"/>
      </w:pPr>
      <w:r>
        <w:t xml:space="preserve">Exemplo real: </w:t>
      </w:r>
      <w:r>
        <w:rPr>
          <w:rFonts w:ascii="Courier New" w:hAnsi="Courier New"/>
        </w:rPr>
        <w:t>+...5078504</w:t>
      </w:r>
      <w:r>
        <w:t xml:space="preserve"> → últimos 2 = </w:t>
      </w:r>
      <w:r>
        <w:rPr>
          <w:rFonts w:ascii="Courier New" w:hAnsi="Courier New"/>
        </w:rPr>
        <w:t>04</w:t>
      </w:r>
      <w:r>
        <w:t xml:space="preserve"> (4 casas) → </w:t>
      </w:r>
      <w:r>
        <w:rPr>
          <w:rFonts w:ascii="Courier New" w:hAnsi="Courier New"/>
        </w:rPr>
        <w:t>50785 / 10^4 = 5.0785</w:t>
      </w:r>
    </w:p>
    <w:p>
      <w:r>
        <w:t>(USD/BRL — bate com a cotação real do dia).</w:t>
      </w:r>
    </w:p>
    <w:p>
      <w:pPr>
        <w:pStyle w:val="ListBullet"/>
      </w:pPr>
      <w:r>
        <w:rPr>
          <w:b/>
        </w:rPr>
        <w:t>Importante:</w:t>
      </w:r>
      <w:r>
        <w:t xml:space="preserve"> esse valor decodificado </w:t>
      </w:r>
      <w:r>
        <w:rPr>
          <w:b/>
        </w:rPr>
        <w:t>já é a taxa final</w:t>
      </w:r>
      <w:r>
        <w:t>, pronta para uso.</w:t>
      </w:r>
    </w:p>
    <w:p>
      <w:r>
        <w:t>Não existe nenhum "divisor extra" por moeda — o PRD original sugeria um (ex: ÷1.000,</w:t>
      </w:r>
    </w:p>
    <w:p>
      <w:r>
        <w:t xml:space="preserve">÷10.000.000 para EUR), mas isso estava </w:t>
      </w:r>
      <w:r>
        <w:rPr>
          <w:b/>
        </w:rPr>
        <w:t>errado</w:t>
      </w:r>
      <w:r>
        <w:t>: aplicar um divisor em cima do valor</w:t>
      </w:r>
    </w:p>
    <w:p>
      <w:r>
        <w:t>já decodificado distorcia a cotação em 3-4 ordens de grandeza. Foi removido.</w:t>
      </w:r>
    </w:p>
    <w:p>
      <w:pPr>
        <w:pStyle w:val="Heading3"/>
      </w:pPr>
      <w:r>
        <w:t>Passo 5 — Encontrar o instrumento certo para cada moeda</w:t>
      </w:r>
    </w:p>
    <w:p>
      <w:pPr>
        <w:pStyle w:val="ListBullet"/>
      </w:pPr>
      <w:r>
        <w:t xml:space="preserve">Cada moeda tem um "tipo + sufixo de nome" configurado (ex: USD → tipo </w:t>
      </w:r>
      <w:r>
        <w:rPr>
          <w:rFonts w:ascii="Courier New" w:hAnsi="Courier New"/>
        </w:rPr>
        <w:t>RT</w:t>
      </w:r>
      <w:r>
        <w:t>,</w:t>
      </w:r>
    </w:p>
    <w:p>
      <w:r>
        <w:t xml:space="preserve">sufixo </w:t>
      </w:r>
      <w:r>
        <w:rPr>
          <w:rFonts w:ascii="Courier New" w:hAnsi="Courier New"/>
        </w:rPr>
        <w:t>DOL-D1</w:t>
      </w:r>
      <w:r>
        <w:t xml:space="preserve">; JPY → tipo </w:t>
      </w:r>
      <w:r>
        <w:rPr>
          <w:rFonts w:ascii="Courier New" w:hAnsi="Courier New"/>
        </w:rPr>
        <w:t>TX</w:t>
      </w:r>
      <w:r>
        <w:t xml:space="preserve">, sufixo </w:t>
      </w:r>
      <w:r>
        <w:rPr>
          <w:rFonts w:ascii="Courier New" w:hAnsi="Courier New"/>
        </w:rPr>
        <w:t>JPY</w:t>
      </w:r>
      <w:r>
        <w:t xml:space="preserve">; EUR → tipo </w:t>
      </w:r>
      <w:r>
        <w:rPr>
          <w:rFonts w:ascii="Courier New" w:hAnsi="Courier New"/>
        </w:rPr>
        <w:t>RT</w:t>
      </w:r>
      <w:r>
        <w:t xml:space="preserve">, sufixo </w:t>
      </w:r>
      <w:r>
        <w:rPr>
          <w:rFonts w:ascii="Courier New" w:hAnsi="Courier New"/>
        </w:rPr>
        <w:t>REUR-D1</w:t>
      </w:r>
      <w:r>
        <w:t>).</w:t>
      </w:r>
    </w:p>
    <w:p>
      <w:pPr>
        <w:pStyle w:val="ListBullet"/>
      </w:pPr>
      <w:r>
        <w:t xml:space="preserve">A busca é feita por </w:t>
      </w:r>
      <w:r>
        <w:rPr>
          <w:b/>
        </w:rPr>
        <w:t>tipo exato + nome terminando no sufixo configurado</w:t>
      </w:r>
    </w:p>
    <w:p>
      <w:r>
        <w:t>(regra R8) — nunca por nome igual/exato, porque a B3 já trocou nomes de instrumento</w:t>
      </w:r>
    </w:p>
    <w:p>
      <w:r>
        <w:t xml:space="preserve">no passado (ex: </w:t>
      </w:r>
      <w:r>
        <w:rPr>
          <w:rFonts w:ascii="Courier New" w:hAnsi="Courier New"/>
        </w:rPr>
        <w:t>ARS-D1</w:t>
      </w:r>
      <w:r>
        <w:t xml:space="preserve"> virou </w:t>
      </w:r>
      <w:r>
        <w:rPr>
          <w:rFonts w:ascii="Courier New" w:hAnsi="Courier New"/>
        </w:rPr>
        <w:t>RARS-D1</w:t>
      </w:r>
      <w:r>
        <w:t xml:space="preserve">, e o sufixo </w:t>
      </w:r>
      <w:r>
        <w:rPr>
          <w:rFonts w:ascii="Courier New" w:hAnsi="Courier New"/>
        </w:rPr>
        <w:t>ARS-D1</w:t>
      </w:r>
      <w:r>
        <w:t xml:space="preserve"> continua batendo).</w:t>
      </w:r>
    </w:p>
    <w:p>
      <w:pPr>
        <w:pStyle w:val="ListBullet"/>
      </w:pPr>
      <w:r>
        <w:t xml:space="preserve">Se não encontrar o instrumento daquela moeda no arquivo do dia → cotação fica </w:t>
      </w:r>
      <w:r>
        <w:rPr>
          <w:rFonts w:ascii="Courier New" w:hAnsi="Courier New"/>
        </w:rPr>
        <w:t>null</w:t>
      </w:r>
    </w:p>
    <w:p>
      <w:r>
        <w:t xml:space="preserve">e é gerado um alerta </w:t>
      </w:r>
      <w:r>
        <w:rPr>
          <w:rFonts w:ascii="Courier New" w:hAnsi="Courier New"/>
        </w:rPr>
        <w:t>[WARN]</w:t>
      </w:r>
      <w:r>
        <w:t xml:space="preserve"> (regra R7).</w:t>
      </w:r>
    </w:p>
    <w:p>
      <w:pPr>
        <w:pStyle w:val="Heading3"/>
      </w:pPr>
      <w:r>
        <w:t>Passo 6 — Casos especiais de paridade (GBP, NZD, CNY)</w:t>
      </w:r>
    </w:p>
    <w:p>
      <w:pPr>
        <w:pStyle w:val="ListBullet"/>
      </w:pPr>
      <w:r>
        <w:t>Para a maioria das moedas, o instrumento já traz a cotação direta em BRL.</w:t>
      </w:r>
    </w:p>
    <w:p>
      <w:pPr>
        <w:pStyle w:val="ListBullet"/>
      </w:pPr>
      <w:r>
        <w:rPr>
          <w:b/>
        </w:rPr>
        <w:t>GBP, NZD e CNY são diferentes</w:t>
      </w:r>
      <w:r>
        <w:t>: a B3 não publica a cotação direta dessas moedas</w:t>
      </w:r>
    </w:p>
    <w:p>
      <w:r>
        <w:t xml:space="preserve">contra o real — publica apenas a </w:t>
      </w:r>
      <w:r>
        <w:rPr>
          <w:b/>
        </w:rPr>
        <w:t>paridade contra o dólar</w:t>
      </w:r>
      <w:r>
        <w:t>. Por isso:</w:t>
      </w:r>
    </w:p>
    <w:p>
      <w:pPr>
        <w:pStyle w:val="ListBullet"/>
      </w:pPr>
      <w:r>
        <w:rPr>
          <w:b/>
        </w:rPr>
        <w:t>USD precisa ser processado primeiro</w:t>
      </w:r>
      <w:r>
        <w:t xml:space="preserve"> (regra R4) — o "USD spot" fica guardado</w:t>
      </w:r>
    </w:p>
    <w:p>
      <w:r>
        <w:t>e reaproveitado nos cálculos seguintes.</w:t>
      </w:r>
    </w:p>
    <w:p>
      <w:pPr>
        <w:pStyle w:val="ListBullet"/>
      </w:pPr>
      <w:r>
        <w:rPr>
          <w:b/>
        </w:rPr>
        <w:t>GBP e NZD</w:t>
      </w:r>
      <w:r>
        <w:t xml:space="preserve"> (paridade "moeda por dólar", ex: GBP/USD ≈ 1,34):</w:t>
      </w:r>
    </w:p>
    <w:p>
      <w:r>
        <w:rPr>
          <w:rFonts w:ascii="Courier New" w:hAnsi="Courier New"/>
        </w:rPr>
        <w:t>cotação_BRL = USD_spot × paridade</w:t>
      </w:r>
    </w:p>
    <w:p>
      <w:pPr>
        <w:pStyle w:val="ListBullet"/>
      </w:pPr>
      <w:r>
        <w:rPr>
          <w:b/>
        </w:rPr>
        <w:t>CNY</w:t>
      </w:r>
      <w:r>
        <w:t xml:space="preserve"> é o caso inverso — a B3 publica "dólares por iene chinês" (USD/CNY ≈ 6,77),</w:t>
      </w:r>
    </w:p>
    <w:p>
      <w:r>
        <w:t xml:space="preserve">então para chegar em CNY/BRL é preciso </w:t>
      </w:r>
      <w:r>
        <w:rPr>
          <w:b/>
        </w:rPr>
        <w:t>dividir</w:t>
      </w:r>
      <w:r>
        <w:t xml:space="preserve"> (regra R5):</w:t>
      </w:r>
    </w:p>
    <w:p>
      <w:r>
        <w:rPr>
          <w:rFonts w:ascii="Courier New" w:hAnsi="Courier New"/>
        </w:rPr>
        <w:t>cotação_BRL = USD_spot ÷ paridade</w:t>
      </w:r>
    </w:p>
    <w:p>
      <w:pPr>
        <w:pStyle w:val="Heading3"/>
      </w:pPr>
      <w:r>
        <w:t>Passo 7 — Buscar a PTAX de fechamento no BACEN</w:t>
      </w:r>
    </w:p>
    <w:p>
      <w:pPr>
        <w:pStyle w:val="ListBullet"/>
      </w:pPr>
      <w:r>
        <w:t xml:space="preserve">A API do BACEN usada é a </w:t>
      </w:r>
      <w:r>
        <w:rPr>
          <w:rFonts w:ascii="Courier New" w:hAnsi="Courier New"/>
        </w:rPr>
        <w:t>PTAX</w:t>
      </w:r>
      <w:r>
        <w:t xml:space="preserve"> (OData), função </w:t>
      </w:r>
      <w:r>
        <w:rPr>
          <w:rFonts w:ascii="Courier New" w:hAnsi="Courier New"/>
        </w:rPr>
        <w:t>CotacaoMoedaDia(moeda, dataCotacao)</w:t>
      </w:r>
    </w:p>
    <w:p>
      <w:r>
        <w:t xml:space="preserve">— </w:t>
      </w:r>
      <w:r>
        <w:rPr>
          <w:b/>
        </w:rPr>
        <w:t>uma chamada por moeda</w:t>
      </w:r>
      <w:r>
        <w:t xml:space="preserve"> (não existe um endpoint único que devolva todas de</w:t>
      </w:r>
    </w:p>
    <w:p>
      <w:r>
        <w:t>uma vez, ao contrário do que o desenho original supunha).</w:t>
      </w:r>
    </w:p>
    <w:p>
      <w:pPr>
        <w:pStyle w:val="ListBullet"/>
      </w:pPr>
      <w:r>
        <w:t>Cada chamada devolve vários boletins do dia (Abertura, Intermediário, Fechamento...).</w:t>
      </w:r>
    </w:p>
    <w:p>
      <w:r>
        <w:t xml:space="preserve">O pipeline filtra exatamente o boletim </w:t>
      </w:r>
      <w:r>
        <w:rPr>
          <w:b/>
        </w:rPr>
        <w:t>`"Fechamento PTAX"`</w:t>
      </w:r>
      <w:r>
        <w:t xml:space="preserve"> — esse é o nome real</w:t>
      </w:r>
    </w:p>
    <w:p>
      <w:r>
        <w:t xml:space="preserve">que o BACEN usa (não apenas </w:t>
      </w:r>
      <w:r>
        <w:rPr>
          <w:rFonts w:ascii="Courier New" w:hAnsi="Courier New"/>
        </w:rPr>
        <w:t>"Fechamento"</w:t>
      </w:r>
      <w:r>
        <w:t>).</w:t>
      </w:r>
    </w:p>
    <w:p>
      <w:pPr>
        <w:pStyle w:val="ListBullet"/>
      </w:pPr>
      <w:r>
        <w:rPr>
          <w:b/>
        </w:rPr>
        <w:t>Nem toda moeda tem PTAX de fechamento publicada pelo BACEN</w:t>
      </w:r>
      <w:r>
        <w:t xml:space="preserve"> — moedas como ZAR,</w:t>
      </w:r>
    </w:p>
    <w:p>
      <w:r>
        <w:t>CLP, TRY, MXN, CNH, RUB, ARS, NZD e CNY simplesmente não aparecem na API do BACEN</w:t>
      </w:r>
    </w:p>
    <w:p>
      <w:r>
        <w:t xml:space="preserve">para boletim de fechamento. Isso </w:t>
      </w:r>
      <w:r>
        <w:rPr>
          <w:b/>
        </w:rPr>
        <w:t>não é erro</w:t>
      </w:r>
      <w:r>
        <w:t xml:space="preserve">: o pipeline registra </w:t>
      </w:r>
      <w:r>
        <w:rPr>
          <w:rFonts w:ascii="Courier New" w:hAnsi="Courier New"/>
        </w:rPr>
        <w:t>null</w:t>
      </w:r>
    </w:p>
    <w:p>
      <w:r>
        <w:t>(regra R6) e segue normalmente.</w:t>
      </w:r>
    </w:p>
    <w:p>
      <w:pPr>
        <w:pStyle w:val="Heading3"/>
      </w:pPr>
      <w:r>
        <w:t>Passo 8 — Calcular o spread B3 vs PTAX</w:t>
      </w:r>
    </w:p>
    <w:p>
      <w:pPr>
        <w:pStyle w:val="ListBullet"/>
      </w:pPr>
      <w:r>
        <w:t>Para cada moeda com as duas cotações disponíveis:</w:t>
      </w:r>
    </w:p>
    <w:p>
      <w:r>
        <w:rPr>
          <w:rFonts w:ascii="Courier New" w:hAnsi="Courier New"/>
        </w:rPr>
        <w:t>spread % = (cotação_B3 / PTAX_venda − 1) × 100</w:t>
      </w:r>
    </w:p>
    <w:p>
      <w:pPr>
        <w:pStyle w:val="ListBullet"/>
      </w:pPr>
      <w:r>
        <w:t xml:space="preserve">Se faltar uma das duas pontas (B3 ou PTAX), o spread fica </w:t>
      </w:r>
      <w:r>
        <w:rPr>
          <w:rFonts w:ascii="Courier New" w:hAnsi="Courier New"/>
        </w:rPr>
        <w:t>null</w:t>
      </w:r>
      <w:r>
        <w:t>.</w:t>
      </w:r>
    </w:p>
    <w:p>
      <w:pPr>
        <w:pStyle w:val="ListBullet"/>
      </w:pPr>
      <w:r>
        <w:t xml:space="preserve">Se o spread (em módulo) passar de </w:t>
      </w:r>
      <w:r>
        <w:rPr>
          <w:b/>
        </w:rPr>
        <w:t>20%</w:t>
      </w:r>
      <w:r>
        <w:t>, é gerado um alerta de divergência</w:t>
      </w:r>
    </w:p>
    <w:p>
      <w:r>
        <w:t>(regra R10) — sinal de que algo pode estar errado (ex: instrumento errado, dia</w:t>
      </w:r>
    </w:p>
    <w:p>
      <w:r>
        <w:t>diferente, problema na fonte).</w:t>
      </w:r>
    </w:p>
    <w:p>
      <w:pPr>
        <w:pStyle w:val="Heading3"/>
      </w:pPr>
      <w:r>
        <w:t>Passo 9 — Gerar a planilha Excel</w:t>
      </w:r>
    </w:p>
    <w:p>
      <w:pPr>
        <w:pStyle w:val="ListBullet"/>
      </w:pPr>
      <w:r>
        <w:t>Uma linha por moeda, com: data de referência, código ISO, cotação B3, PTAX</w:t>
      </w:r>
    </w:p>
    <w:p>
      <w:r>
        <w:t>compra/venda, spread %, instrumento de origem e método de cálculo usado</w:t>
      </w:r>
    </w:p>
    <w:p>
      <w:r>
        <w:t>(</w:t>
      </w:r>
      <w:r>
        <w:rPr>
          <w:rFonts w:ascii="Courier New" w:hAnsi="Courier New"/>
        </w:rPr>
        <w:t>direto</w:t>
      </w:r>
      <w:r>
        <w:t xml:space="preserve">, </w:t>
      </w:r>
      <w:r>
        <w:rPr>
          <w:rFonts w:ascii="Courier New" w:hAnsi="Courier New"/>
        </w:rPr>
        <w:t>paridade_multiplicada</w:t>
      </w:r>
      <w:r>
        <w:t xml:space="preserve">, </w:t>
      </w:r>
      <w:r>
        <w:rPr>
          <w:rFonts w:ascii="Courier New" w:hAnsi="Courier New"/>
        </w:rPr>
        <w:t>paridade_dividida</w:t>
      </w:r>
      <w:r>
        <w:t>).</w:t>
      </w:r>
    </w:p>
    <w:p>
      <w:pPr>
        <w:pStyle w:val="ListBullet"/>
      </w:pPr>
      <w:r>
        <w:t xml:space="preserve">Salva em </w:t>
      </w:r>
      <w:r>
        <w:rPr>
          <w:rFonts w:ascii="Courier New" w:hAnsi="Courier New"/>
        </w:rPr>
        <w:t>data/output/taxas_spot_b3_{AAAAMMDD}.xlsx</w:t>
      </w:r>
      <w:r>
        <w:t>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3. As 10 regras de negócio, explicadas em linguagem simples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significa na prática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</w:t>
            </w:r>
          </w:p>
        </w:tc>
        <w:tc>
          <w:tcPr>
            <w:tcW w:type="dxa" w:w="2880"/>
          </w:tcPr>
          <w:p>
            <w:r>
              <w:t>Usar sempre a data D (mais recente do arquivo), nunca D-1</w:t>
            </w:r>
          </w:p>
        </w:tc>
        <w:tc>
          <w:tcPr>
            <w:tcW w:type="dxa" w:w="2880"/>
          </w:tcPr>
          <w:p>
            <w:r>
              <w:t>O arquivo da B3 traz duas datas lado a lado; sempre ficamos com a mais nova. D-1 só vale se hoje não for dia útil (aí "D" recua sozinho).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t>Os últimos 2 dígitos do campo numérico definem as casas decimais</w:t>
            </w:r>
          </w:p>
        </w:tc>
        <w:tc>
          <w:tcPr>
            <w:tcW w:type="dxa" w:w="2880"/>
          </w:tcPr>
          <w:p>
            <w:r>
              <w:t>É assim que a B3 codifica valores de tamanhos/precisões diferentes em um campo de largura fixa. Sem essa decodificação, o número não faz sentido.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R3</w:t>
            </w:r>
            <w:r>
              <w:t xml:space="preserve"> </w:t>
            </w:r>
            <w:r>
              <w:rPr>
                <w:i/>
              </w:rPr>
              <w:t>(revisada)</w:t>
            </w:r>
          </w:p>
        </w:tc>
        <w:tc>
          <w:tcPr>
            <w:tcW w:type="dxa" w:w="2880"/>
          </w:tcPr>
          <w:p>
            <w:r>
              <w:rPr>
                <w:strike/>
              </w:rPr>
              <w:t>EUR tem divisor especial 10^7</w:t>
            </w:r>
            <w:r>
              <w:t xml:space="preserve"> → </w:t>
            </w:r>
            <w:r>
              <w:rPr>
                <w:b/>
              </w:rPr>
              <w:t>Não existe divisor extra para nenhuma moeda</w:t>
            </w:r>
          </w:p>
        </w:tc>
        <w:tc>
          <w:tcPr>
            <w:tcW w:type="dxa" w:w="2880"/>
          </w:tcPr>
          <w:p>
            <w:r>
              <w:t xml:space="preserve">O PRD original previa divisores por moeda; na prática o valor decodificado pela regra R2 </w:t>
            </w:r>
            <w:r>
              <w:rPr>
                <w:b/>
              </w:rPr>
              <w:t>já é</w:t>
            </w:r>
            <w:r>
              <w:t xml:space="preserve"> a cotação final. Aplicar divisor em cima distorcia tudo.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>
              <w:t>NZD e GBP dependem do USD spot — processar USD primeiro</w:t>
            </w:r>
          </w:p>
        </w:tc>
        <w:tc>
          <w:tcPr>
            <w:tcW w:type="dxa" w:w="2880"/>
          </w:tcPr>
          <w:p>
            <w:r>
              <w:t>A B3 só publica a paridade dessas moedas contra o dólar, não a cotação direta em reais. Sem o USD calculado antes, não dá pra calcular GBP/NZD.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R5</w:t>
            </w:r>
          </w:p>
        </w:tc>
        <w:tc>
          <w:tcPr>
            <w:tcW w:type="dxa" w:w="2880"/>
          </w:tcPr>
          <w:p>
            <w:r>
              <w:t xml:space="preserve">CNY é paridade inversa: </w:t>
            </w:r>
            <w:r>
              <w:rPr>
                <w:rFonts w:ascii="Courier New" w:hAnsi="Courier New"/>
              </w:rPr>
              <w:t>USD_BRL ÷ paridade_CNY_USD</w:t>
            </w:r>
          </w:p>
        </w:tc>
        <w:tc>
          <w:tcPr>
            <w:tcW w:type="dxa" w:w="2880"/>
          </w:tcPr>
          <w:p>
            <w:r>
              <w:t>A B3 publica "quantos CNY equivalem a 1 USD" (~6,77); para chegar em CNY/BRL é preciso dividir, não multiplicar — o oposto de GBP/NZD.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R6</w:t>
            </w:r>
          </w:p>
        </w:tc>
        <w:tc>
          <w:tcPr>
            <w:tcW w:type="dxa" w:w="2880"/>
          </w:tcPr>
          <w:p>
            <w:r>
              <w:t xml:space="preserve">PTAX ausente → </w:t>
            </w:r>
            <w:r>
              <w:rPr>
                <w:rFonts w:ascii="Courier New" w:hAnsi="Courier New"/>
              </w:rPr>
              <w:t>null</w:t>
            </w:r>
            <w:r>
              <w:t xml:space="preserve"> (não é erro fatal)</w:t>
            </w:r>
          </w:p>
        </w:tc>
        <w:tc>
          <w:tcPr>
            <w:tcW w:type="dxa" w:w="2880"/>
          </w:tcPr>
          <w:p>
            <w:r>
              <w:t>Várias moedas simplesmente não têm boletim de fechamento PTAX no BACEN. O pipeline segue em frente e marca como "sem PTAX" — não trava o processo.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R7</w:t>
            </w:r>
          </w:p>
        </w:tc>
        <w:tc>
          <w:tcPr>
            <w:tcW w:type="dxa" w:w="2880"/>
          </w:tcPr>
          <w:p>
            <w:r>
              <w:t xml:space="preserve">Instrumento ausente no arquivo B3 → </w:t>
            </w:r>
            <w:r>
              <w:rPr>
                <w:rFonts w:ascii="Courier New" w:hAnsi="Courier New"/>
              </w:rPr>
              <w:t>null</w:t>
            </w:r>
            <w:r>
              <w:t xml:space="preserve"> + alerta</w:t>
            </w:r>
          </w:p>
        </w:tc>
        <w:tc>
          <w:tcPr>
            <w:tcW w:type="dxa" w:w="2880"/>
          </w:tcPr>
          <w:p>
            <w:r>
              <w:t xml:space="preserve">Se a B3 não publicou aquele instrumento naquele dia, a cotação fica vazia e um aviso </w:t>
            </w:r>
            <w:r>
              <w:rPr>
                <w:rFonts w:ascii="Courier New" w:hAnsi="Courier New"/>
              </w:rPr>
              <w:t>[WARN]</w:t>
            </w:r>
            <w:r>
              <w:t xml:space="preserve"> é exibido — para investigação manual, mas sem travar o pipeline.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R8</w:t>
            </w:r>
          </w:p>
        </w:tc>
        <w:tc>
          <w:tcPr>
            <w:tcW w:type="dxa" w:w="2880"/>
          </w:tcPr>
          <w:p>
            <w:r>
              <w:t>Busca de instrumento por sufixo, não por nome exato</w:t>
            </w:r>
          </w:p>
        </w:tc>
        <w:tc>
          <w:tcPr>
            <w:tcW w:type="dxa" w:w="2880"/>
          </w:tcPr>
          <w:p>
            <w:r>
              <w:t xml:space="preserve">Nomes de instrumento mudam ao longo do tempo (ex: </w:t>
            </w:r>
            <w:r>
              <w:rPr>
                <w:rFonts w:ascii="Courier New" w:hAnsi="Courier New"/>
              </w:rPr>
              <w:t>ARS-D1</w:t>
            </w:r>
            <w:r>
              <w:t xml:space="preserve"> → </w:t>
            </w:r>
            <w:r>
              <w:rPr>
                <w:rFonts w:ascii="Courier New" w:hAnsi="Courier New"/>
              </w:rPr>
              <w:t>RARS-D1</w:t>
            </w:r>
            <w:r>
              <w:t>). Buscar pelo final do nome torna o pipeline resistente a essas mudanças.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R9</w:t>
            </w:r>
          </w:p>
        </w:tc>
        <w:tc>
          <w:tcPr>
            <w:tcW w:type="dxa" w:w="2880"/>
          </w:tcPr>
          <w:p>
            <w:r>
              <w:t>Dias não úteis → recuar para o último dia útil</w:t>
            </w:r>
          </w:p>
        </w:tc>
        <w:tc>
          <w:tcPr>
            <w:tcW w:type="dxa" w:w="2880"/>
          </w:tcPr>
          <w:p>
            <w:r>
              <w:t>Sábados, domingos e feriados nacionais não têm pregão nem PTAX. O calendário de feriados é consultado (hoje via BrasilAPI) para encontrar o último dia útil.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R10</w:t>
            </w:r>
          </w:p>
        </w:tc>
        <w:tc>
          <w:tcPr>
            <w:tcW w:type="dxa" w:w="2880"/>
          </w:tcPr>
          <w:p>
            <w:r>
              <w:t>Divergência &gt; 20% entre B3 e PTAX → gerar alerta</w:t>
            </w:r>
          </w:p>
        </w:tc>
        <w:tc>
          <w:tcPr>
            <w:tcW w:type="dxa" w:w="2880"/>
          </w:tcPr>
          <w:p>
            <w:r>
              <w:t xml:space="preserve">Um spread tão grande normalmente indica problema (instrumento errado, datas descasadas, etc.) e merece olhar humano — por isso vira um </w:t>
            </w:r>
            <w:r>
              <w:rPr>
                <w:rFonts w:ascii="Courier New" w:hAnsi="Courier New"/>
              </w:rPr>
              <w:t>[WARN]</w:t>
            </w:r>
            <w:r>
              <w:t xml:space="preserve"> na execução.</w:t>
            </w:r>
          </w:p>
        </w:tc>
      </w:tr>
    </w:tbl>
    <w:p>
      <w:r>
        <w:t>――――――――――――――――――――――――――――――</w:t>
      </w:r>
    </w:p>
    <w:p>
      <w:pPr>
        <w:pStyle w:val="Heading2"/>
      </w:pPr>
      <w:r>
        <w:t>4. As moedas e como cada uma é calculada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Moeda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Instrumento B3 (tipo \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sufixo)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</w:tr>
      <w:tr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DOL-D1`</w:t>
            </w:r>
          </w:p>
        </w:tc>
        <w:tc>
          <w:tcPr>
            <w:tcW w:type="dxa" w:w="2160"/>
          </w:tcPr>
          <w:p>
            <w:r>
              <w:t xml:space="preserve">direto (processado </w:t>
            </w:r>
            <w:r>
              <w:rPr>
                <w:b/>
              </w:rPr>
              <w:t>primeiro</w:t>
            </w:r>
            <w:r>
              <w:t xml:space="preserve"> — vira a base para GBP/NZD/CNY)</w:t>
            </w:r>
          </w:p>
        </w:tc>
      </w:tr>
      <w:tr>
        <w:tc>
          <w:tcPr>
            <w:tcW w:type="dxa" w:w="2160"/>
          </w:tcPr>
          <w:p>
            <w:r>
              <w:t>EUR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REUR-D1`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JPY</w:t>
            </w:r>
          </w:p>
        </w:tc>
        <w:tc>
          <w:tcPr>
            <w:tcW w:type="dxa" w:w="2160"/>
          </w:tcPr>
          <w:p>
            <w:r>
              <w:t>`TX \</w:t>
            </w:r>
          </w:p>
        </w:tc>
        <w:tc>
          <w:tcPr>
            <w:tcW w:type="dxa" w:w="2160"/>
          </w:tcPr>
          <w:p>
            <w:r>
              <w:t>JPY`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AUD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AUD-T1`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DKK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DKK-T1`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SEK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RSEK-D1`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CHF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RCHF-D1`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ZAR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RZAR-D1`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CLP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RCLP-D1`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TRY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RTRY-D1`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RNOK-D1`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MXN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RMXN-D1`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CNH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RCNH-D1`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RUB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RRUB-D1`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CAD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RCAD-D1`</w:t>
            </w:r>
          </w:p>
        </w:tc>
        <w:tc>
          <w:tcPr>
            <w:tcW w:type="dxa" w:w="2160"/>
          </w:tcPr>
          <w:p>
            <w:r>
              <w:t>direto</w:t>
            </w:r>
          </w:p>
        </w:tc>
      </w:tr>
      <w:tr>
        <w:tc>
          <w:tcPr>
            <w:tcW w:type="dxa" w:w="2160"/>
          </w:tcPr>
          <w:p>
            <w:r>
              <w:t>ARS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RARS-D1`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GBP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GBP-PF`</w:t>
            </w:r>
          </w:p>
        </w:tc>
        <w:tc>
          <w:tcPr>
            <w:tcW w:type="dxa" w:w="2160"/>
          </w:tcPr>
          <w:p>
            <w:r>
              <w:t>paridade × USD spot</w:t>
            </w:r>
          </w:p>
        </w:tc>
      </w:tr>
      <w:tr>
        <w:tc>
          <w:tcPr>
            <w:tcW w:type="dxa" w:w="2160"/>
          </w:tcPr>
          <w:p>
            <w:r>
              <w:t>NZD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NZD-PF`</w:t>
            </w:r>
          </w:p>
        </w:tc>
        <w:tc>
          <w:tcPr>
            <w:tcW w:type="dxa" w:w="2160"/>
          </w:tcPr>
          <w:p>
            <w:r>
              <w:t xml:space="preserve">paridade × USD spot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CNY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CNY-PF`</w:t>
            </w:r>
          </w:p>
        </w:tc>
        <w:tc>
          <w:tcPr>
            <w:tcW w:type="dxa" w:w="2160"/>
          </w:tcPr>
          <w:p>
            <w:r>
              <w:t xml:space="preserve">USD spot ÷ paridade </w:t>
            </w:r>
            <w:r>
              <w:rPr>
                <w:i/>
              </w:rPr>
              <w:t>(sem PTAX de fechamento no BACEN)</w:t>
            </w:r>
          </w:p>
        </w:tc>
      </w:tr>
      <w:tr>
        <w:tc>
          <w:tcPr>
            <w:tcW w:type="dxa" w:w="2160"/>
          </w:tcPr>
          <w:p>
            <w:r>
              <w:t>AED, BOB, COP, CRC, CZK, HKD, HUF, IDR, INR, KWD, MYR, PEN, PHP, PLN, PYG, QAR, RON, SAR, SGD, THB, TWD, UYU, VND</w:t>
            </w:r>
          </w:p>
        </w:tc>
        <w:tc>
          <w:tcPr>
            <w:tcW w:type="dxa" w:w="2160"/>
          </w:tcPr>
          <w:p>
            <w:r>
              <w:t>`RT \</w:t>
            </w:r>
          </w:p>
        </w:tc>
        <w:tc>
          <w:tcPr>
            <w:tcW w:type="dxa" w:w="2160"/>
          </w:tcPr>
          <w:p>
            <w:r>
              <w:t>{CÓDIGO}-T1`</w:t>
            </w:r>
          </w:p>
        </w:tc>
        <w:tc>
          <w:tcPr>
            <w:tcW w:type="dxa" w:w="2160"/>
          </w:tcPr>
          <w:p>
            <w:r>
              <w:t xml:space="preserve">direto </w:t>
            </w:r>
            <w:r>
              <w:rPr>
                <w:i/>
              </w:rPr>
              <w:t>(sem PTAX de fechamento no BACEN — todas)</w:t>
            </w:r>
          </w:p>
        </w:tc>
      </w:tr>
    </w:tbl>
    <w:p>
      <w:pPr>
        <w:pStyle w:val="IntenseQuote"/>
      </w:pPr>
      <w:r>
        <w:rPr>
          <w:b/>
        </w:rPr>
        <w:t>Por que essas 23 moedas só foram adicionadas depois (2026-06-07)?</w:t>
      </w:r>
      <w:r>
        <w:t xml:space="preserve"> O arquivo da B3 não tem nenhum campo dizendo "isto é uma moeda" — ele tem ~1.800 instrumentos por dia, a maioria ações e derivativos. As 19 moedas originais foram identificadas via curadoria manual (cruzando o PRD com nomes reais do arquivo). Ao revisar o arquivo de novo, percebemos que a B3 também publica cotações diretas em BRL para muitas outras moedas através de instrumentos </w:t>
      </w:r>
      <w:r>
        <w:rPr>
          <w:rFonts w:ascii="Courier New" w:hAnsi="Courier New"/>
        </w:rPr>
        <w:t>{CÓDIGO}-T1</w:t>
      </w:r>
      <w:r>
        <w:t>/</w:t>
      </w:r>
      <w:r>
        <w:rPr>
          <w:rFonts w:ascii="Courier New" w:hAnsi="Courier New"/>
        </w:rPr>
        <w:t>{CÓDIGO}-T2</w:t>
      </w:r>
      <w:r>
        <w:t xml:space="preserve"> — mesmo padrão já usado para AUD e DKK. Cada uma dessas 23 foi validada decodificando o valor e checando se o resultado é uma cotação BRL plausível (ex: </w:t>
      </w:r>
      <w:r>
        <w:rPr>
          <w:rFonts w:ascii="Courier New" w:hAnsi="Courier New"/>
        </w:rPr>
        <w:t>HKD-T1 = 0.6453</w:t>
      </w:r>
      <w:r>
        <w:t xml:space="preserve"> ≈ HKD/BRL real, </w:t>
      </w:r>
      <w:r>
        <w:rPr>
          <w:rFonts w:ascii="Courier New" w:hAnsi="Courier New"/>
        </w:rPr>
        <w:t>KWD-T1 = 16.49</w:t>
      </w:r>
      <w:r>
        <w:t xml:space="preserve"> ≈ KWD/BRL real) e rodando o pipeline ponta a ponta sem disparar alerta de divergência.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5. Resultado de execuções reais</w:t>
      </w:r>
    </w:p>
    <w:p>
      <w:pPr>
        <w:pStyle w:val="Heading3"/>
      </w:pPr>
      <w:r>
        <w:t>Execução de referência (05/06/2026, antes da expansão para 42 moedas)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Moeda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PTAX venda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Spread</w:t>
            </w:r>
          </w:p>
        </w:tc>
      </w:tr>
      <w:tr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5,1453</w:t>
            </w:r>
          </w:p>
        </w:tc>
        <w:tc>
          <w:tcPr>
            <w:tcW w:type="dxa" w:w="2160"/>
          </w:tcPr>
          <w:p>
            <w:r>
              <w:t>5,1244</w:t>
            </w:r>
          </w:p>
        </w:tc>
        <w:tc>
          <w:tcPr>
            <w:tcW w:type="dxa" w:w="2160"/>
          </w:tcPr>
          <w:p>
            <w:r>
              <w:t>+0,41%</w:t>
            </w:r>
          </w:p>
        </w:tc>
      </w:tr>
      <w:tr>
        <w:tc>
          <w:tcPr>
            <w:tcW w:type="dxa" w:w="2160"/>
          </w:tcPr>
          <w:p>
            <w:r>
              <w:t>EUR</w:t>
            </w:r>
          </w:p>
        </w:tc>
        <w:tc>
          <w:tcPr>
            <w:tcW w:type="dxa" w:w="2160"/>
          </w:tcPr>
          <w:p>
            <w:r>
              <w:t>5,9279</w:t>
            </w:r>
          </w:p>
        </w:tc>
        <w:tc>
          <w:tcPr>
            <w:tcW w:type="dxa" w:w="2160"/>
          </w:tcPr>
          <w:p>
            <w:r>
              <w:t>5,9100</w:t>
            </w:r>
          </w:p>
        </w:tc>
        <w:tc>
          <w:tcPr>
            <w:tcW w:type="dxa" w:w="2160"/>
          </w:tcPr>
          <w:p>
            <w:r>
              <w:t>+0,30%</w:t>
            </w:r>
          </w:p>
        </w:tc>
      </w:tr>
      <w:tr>
        <w:tc>
          <w:tcPr>
            <w:tcW w:type="dxa" w:w="2160"/>
          </w:tcPr>
          <w:p>
            <w:r>
              <w:t>JPY</w:t>
            </w:r>
          </w:p>
        </w:tc>
        <w:tc>
          <w:tcPr>
            <w:tcW w:type="dxa" w:w="2160"/>
          </w:tcPr>
          <w:p>
            <w:r>
              <w:t>0,0322</w:t>
            </w:r>
          </w:p>
        </w:tc>
        <w:tc>
          <w:tcPr>
            <w:tcW w:type="dxa" w:w="2160"/>
          </w:tcPr>
          <w:p>
            <w:r>
              <w:t>0,0320</w:t>
            </w:r>
          </w:p>
        </w:tc>
        <w:tc>
          <w:tcPr>
            <w:tcW w:type="dxa" w:w="2160"/>
          </w:tcPr>
          <w:p>
            <w:r>
              <w:t>+0,58%</w:t>
            </w:r>
          </w:p>
        </w:tc>
      </w:tr>
      <w:tr>
        <w:tc>
          <w:tcPr>
            <w:tcW w:type="dxa" w:w="2160"/>
          </w:tcPr>
          <w:p>
            <w:r>
              <w:t>GBP</w:t>
            </w:r>
          </w:p>
        </w:tc>
        <w:tc>
          <w:tcPr>
            <w:tcW w:type="dxa" w:w="2160"/>
          </w:tcPr>
          <w:p>
            <w:r>
              <w:t>6,8613</w:t>
            </w:r>
          </w:p>
        </w:tc>
        <w:tc>
          <w:tcPr>
            <w:tcW w:type="dxa" w:w="2160"/>
          </w:tcPr>
          <w:p>
            <w:r>
              <w:t>6,8462</w:t>
            </w:r>
          </w:p>
        </w:tc>
        <w:tc>
          <w:tcPr>
            <w:tcW w:type="dxa" w:w="2160"/>
          </w:tcPr>
          <w:p>
            <w:r>
              <w:t>+0,22%</w:t>
            </w:r>
          </w:p>
        </w:tc>
      </w:tr>
      <w:tr>
        <w:tc>
          <w:tcPr>
            <w:tcW w:type="dxa" w:w="2160"/>
          </w:tcPr>
          <w:p>
            <w:r>
              <w:t>CNY</w:t>
            </w:r>
          </w:p>
        </w:tc>
        <w:tc>
          <w:tcPr>
            <w:tcW w:type="dxa" w:w="2160"/>
          </w:tcPr>
          <w:p>
            <w:r>
              <w:t>0,7605</w:t>
            </w:r>
          </w:p>
        </w:tc>
        <w:tc>
          <w:tcPr>
            <w:tcW w:type="dxa" w:w="2160"/>
          </w:tcPr>
          <w:p>
            <w:r>
              <w:t>— (sem PTAX)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Spreads consistentemente pequenos (entre 0% e ~0,6%) e nenhum alerta de divergência</w:t>
      </w:r>
    </w:p>
    <w:p>
      <w:r>
        <w:t>(&gt;20%) — sinal de que o cálculo está coerente e batendo com o mercado real.</w:t>
      </w:r>
    </w:p>
    <w:p>
      <w:pPr>
        <w:pStyle w:val="Heading3"/>
      </w:pPr>
      <w:r>
        <w:t>Validação da expansão para 42 moedas (07/06/2026, dado de 29/05/2026)</w:t>
      </w:r>
    </w:p>
    <w:p>
      <w:r>
        <w:t>Após adicionar as 23 moedas novas (regra "23 moedas" acima), o pipeline foi rodado</w:t>
      </w:r>
    </w:p>
    <w:p>
      <w:r>
        <w:t>ponta a ponta contra dados reais de 29/05/2026 para validar as novas entradas: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Moeda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PTAX venda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Spread</w:t>
            </w:r>
          </w:p>
        </w:tc>
      </w:tr>
      <w:tr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5,0438</w:t>
            </w:r>
          </w:p>
        </w:tc>
        <w:tc>
          <w:tcPr>
            <w:tcW w:type="dxa" w:w="2160"/>
          </w:tcPr>
          <w:p>
            <w:r>
              <w:t>5,0569</w:t>
            </w:r>
          </w:p>
        </w:tc>
        <w:tc>
          <w:tcPr>
            <w:tcW w:type="dxa" w:w="2160"/>
          </w:tcPr>
          <w:p>
            <w:r>
              <w:t>-0,26%</w:t>
            </w:r>
          </w:p>
        </w:tc>
      </w:tr>
      <w:tr>
        <w:tc>
          <w:tcPr>
            <w:tcW w:type="dxa" w:w="2160"/>
          </w:tcPr>
          <w:p>
            <w:r>
              <w:t>EUR</w:t>
            </w:r>
          </w:p>
        </w:tc>
        <w:tc>
          <w:tcPr>
            <w:tcW w:type="dxa" w:w="2160"/>
          </w:tcPr>
          <w:p>
            <w:r>
              <w:t>5,8831</w:t>
            </w:r>
          </w:p>
        </w:tc>
        <w:tc>
          <w:tcPr>
            <w:tcW w:type="dxa" w:w="2160"/>
          </w:tcPr>
          <w:p>
            <w:r>
              <w:t>5,9060</w:t>
            </w:r>
          </w:p>
        </w:tc>
        <w:tc>
          <w:tcPr>
            <w:tcW w:type="dxa" w:w="2160"/>
          </w:tcPr>
          <w:p>
            <w:r>
              <w:t>-0,39%</w:t>
            </w:r>
          </w:p>
        </w:tc>
      </w:tr>
      <w:tr>
        <w:tc>
          <w:tcPr>
            <w:tcW w:type="dxa" w:w="2160"/>
          </w:tcPr>
          <w:p>
            <w:r>
              <w:t>GBP</w:t>
            </w:r>
          </w:p>
        </w:tc>
        <w:tc>
          <w:tcPr>
            <w:tcW w:type="dxa" w:w="2160"/>
          </w:tcPr>
          <w:p>
            <w:r>
              <w:t>6,7890</w:t>
            </w:r>
          </w:p>
        </w:tc>
        <w:tc>
          <w:tcPr>
            <w:tcW w:type="dxa" w:w="2160"/>
          </w:tcPr>
          <w:p>
            <w:r>
              <w:t>6,8147</w:t>
            </w:r>
          </w:p>
        </w:tc>
        <w:tc>
          <w:tcPr>
            <w:tcW w:type="dxa" w:w="2160"/>
          </w:tcPr>
          <w:p>
            <w:r>
              <w:t>-0,38%</w:t>
            </w:r>
          </w:p>
        </w:tc>
      </w:tr>
      <w:tr>
        <w:tc>
          <w:tcPr>
            <w:tcW w:type="dxa" w:w="2160"/>
          </w:tcPr>
          <w:p>
            <w:r>
              <w:t xml:space="preserve">AED </w:t>
            </w:r>
            <w:r>
              <w:rPr>
                <w:i/>
              </w:rPr>
              <w:t>(nova)</w:t>
            </w:r>
          </w:p>
        </w:tc>
        <w:tc>
          <w:tcPr>
            <w:tcW w:type="dxa" w:w="2160"/>
          </w:tcPr>
          <w:p>
            <w:r>
              <w:t>1,3768</w:t>
            </w:r>
          </w:p>
        </w:tc>
        <w:tc>
          <w:tcPr>
            <w:tcW w:type="dxa" w:w="2160"/>
          </w:tcPr>
          <w:p>
            <w:r>
              <w:t>— (sem PTAX)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 xml:space="preserve">KWD </w:t>
            </w:r>
            <w:r>
              <w:rPr>
                <w:i/>
              </w:rPr>
              <w:t>(nova)</w:t>
            </w:r>
          </w:p>
        </w:tc>
        <w:tc>
          <w:tcPr>
            <w:tcW w:type="dxa" w:w="2160"/>
          </w:tcPr>
          <w:p>
            <w:r>
              <w:t>16,4935</w:t>
            </w:r>
          </w:p>
        </w:tc>
        <w:tc>
          <w:tcPr>
            <w:tcW w:type="dxa" w:w="2160"/>
          </w:tcPr>
          <w:p>
            <w:r>
              <w:t>— (sem PTAX)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 xml:space="preserve">VND </w:t>
            </w:r>
            <w:r>
              <w:rPr>
                <w:i/>
              </w:rPr>
              <w:t>(nova)</w:t>
            </w:r>
          </w:p>
        </w:tc>
        <w:tc>
          <w:tcPr>
            <w:tcW w:type="dxa" w:w="2160"/>
          </w:tcPr>
          <w:p>
            <w:r>
              <w:t>0,000193</w:t>
            </w:r>
          </w:p>
        </w:tc>
        <w:tc>
          <w:tcPr>
            <w:tcW w:type="dxa" w:w="2160"/>
          </w:tcPr>
          <w:p>
            <w:r>
              <w:t>— (sem PTAX)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Nenhuma das 42 moedas disparou alerta de divergência (&gt;20%). As 23 novas moedas</w:t>
      </w:r>
    </w:p>
    <w:p>
      <w:r>
        <w:t>decodificaram para valores plausíveis em BRL e ficaram corretamente sem PTAX (R6) —</w:t>
      </w:r>
    </w:p>
    <w:p>
      <w:r>
        <w:t>o BACEN não publica boletim de fechamento para nenhuma delas.</w:t>
      </w:r>
    </w:p>
    <w:p>
      <w:pPr>
        <w:pStyle w:val="Heading3"/>
      </w:pPr>
      <w:r>
        <w:t>Execuções históricas adicionais (validação de múltiplas datas)</w:t>
      </w:r>
    </w:p>
    <w:p>
      <w:r>
        <w:t>O pipeline também foi rodado para datas passadas (30/01, 27/02, 30/03 e 30/04/2026),</w:t>
      </w:r>
    </w:p>
    <w:p>
      <w:r>
        <w:t>gerando planilhas separadas (</w:t>
      </w:r>
      <w:r>
        <w:rPr>
          <w:rFonts w:ascii="Courier New" w:hAnsi="Courier New"/>
        </w:rPr>
        <w:t>taxas_spot_b3_{AAAAMMDD}.xlsx</w:t>
      </w:r>
      <w:r>
        <w:t>) e confirmando spreads</w:t>
      </w:r>
    </w:p>
    <w:p>
      <w:r>
        <w:t>saudáveis e ausência de alertas em todas: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USD/BRL B3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USD/BRL PTAX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EUR/BRL B3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EUR/BRL PTAX</w:t>
            </w:r>
          </w:p>
        </w:tc>
      </w:tr>
      <w:tr>
        <w:tc>
          <w:tcPr>
            <w:tcW w:type="dxa" w:w="1728"/>
          </w:tcPr>
          <w:p>
            <w:r>
              <w:t>30/01/2026</w:t>
            </w:r>
          </w:p>
        </w:tc>
        <w:tc>
          <w:tcPr>
            <w:tcW w:type="dxa" w:w="1728"/>
          </w:tcPr>
          <w:p>
            <w:r>
              <w:t>5,2627</w:t>
            </w:r>
          </w:p>
        </w:tc>
        <w:tc>
          <w:tcPr>
            <w:tcW w:type="dxa" w:w="1728"/>
          </w:tcPr>
          <w:p>
            <w:r>
              <w:t>5,2301</w:t>
            </w:r>
          </w:p>
        </w:tc>
        <w:tc>
          <w:tcPr>
            <w:tcW w:type="dxa" w:w="1728"/>
          </w:tcPr>
          <w:p>
            <w:r>
              <w:t>6,2526</w:t>
            </w:r>
          </w:p>
        </w:tc>
        <w:tc>
          <w:tcPr>
            <w:tcW w:type="dxa" w:w="1728"/>
          </w:tcPr>
          <w:p>
            <w:r>
              <w:t>6,2217</w:t>
            </w:r>
          </w:p>
        </w:tc>
      </w:tr>
      <w:tr>
        <w:tc>
          <w:tcPr>
            <w:tcW w:type="dxa" w:w="1728"/>
          </w:tcPr>
          <w:p>
            <w:r>
              <w:t>27/02/2026</w:t>
            </w:r>
          </w:p>
        </w:tc>
        <w:tc>
          <w:tcPr>
            <w:tcW w:type="dxa" w:w="1728"/>
          </w:tcPr>
          <w:p>
            <w:r>
              <w:t>5,1381</w:t>
            </w:r>
          </w:p>
        </w:tc>
        <w:tc>
          <w:tcPr>
            <w:tcW w:type="dxa" w:w="1728"/>
          </w:tcPr>
          <w:p>
            <w:r>
              <w:t>5,1495</w:t>
            </w:r>
          </w:p>
        </w:tc>
        <w:tc>
          <w:tcPr>
            <w:tcW w:type="dxa" w:w="1728"/>
          </w:tcPr>
          <w:p>
            <w:r>
              <w:t>6,0717</w:t>
            </w:r>
          </w:p>
        </w:tc>
        <w:tc>
          <w:tcPr>
            <w:tcW w:type="dxa" w:w="1728"/>
          </w:tcPr>
          <w:p>
            <w:r>
              <w:t>6,0795</w:t>
            </w:r>
          </w:p>
        </w:tc>
      </w:tr>
      <w:tr>
        <w:tc>
          <w:tcPr>
            <w:tcW w:type="dxa" w:w="1728"/>
          </w:tcPr>
          <w:p>
            <w:r>
              <w:t>30/03/2026</w:t>
            </w:r>
          </w:p>
        </w:tc>
        <w:tc>
          <w:tcPr>
            <w:tcW w:type="dxa" w:w="1728"/>
          </w:tcPr>
          <w:p>
            <w:r>
              <w:t>5,2475</w:t>
            </w:r>
          </w:p>
        </w:tc>
        <w:tc>
          <w:tcPr>
            <w:tcW w:type="dxa" w:w="1728"/>
          </w:tcPr>
          <w:p>
            <w:r>
              <w:t>5,2353</w:t>
            </w:r>
          </w:p>
        </w:tc>
        <w:tc>
          <w:tcPr>
            <w:tcW w:type="dxa" w:w="1728"/>
          </w:tcPr>
          <w:p>
            <w:r>
              <w:t>6,0136</w:t>
            </w:r>
          </w:p>
        </w:tc>
        <w:tc>
          <w:tcPr>
            <w:tcW w:type="dxa" w:w="1728"/>
          </w:tcPr>
          <w:p>
            <w:r>
              <w:t>5,9970</w:t>
            </w:r>
          </w:p>
        </w:tc>
      </w:tr>
      <w:tr>
        <w:tc>
          <w:tcPr>
            <w:tcW w:type="dxa" w:w="1728"/>
          </w:tcPr>
          <w:p>
            <w:r>
              <w:t>30/04/2026</w:t>
            </w:r>
          </w:p>
        </w:tc>
        <w:tc>
          <w:tcPr>
            <w:tcW w:type="dxa" w:w="1728"/>
          </w:tcPr>
          <w:p>
            <w:r>
              <w:t>4,9587</w:t>
            </w:r>
          </w:p>
        </w:tc>
        <w:tc>
          <w:tcPr>
            <w:tcW w:type="dxa" w:w="1728"/>
          </w:tcPr>
          <w:p>
            <w:r>
              <w:t>4,9886</w:t>
            </w:r>
          </w:p>
        </w:tc>
        <w:tc>
          <w:tcPr>
            <w:tcW w:type="dxa" w:w="1728"/>
          </w:tcPr>
          <w:p>
            <w:r>
              <w:t>5,8210</w:t>
            </w:r>
          </w:p>
        </w:tc>
        <w:tc>
          <w:tcPr>
            <w:tcW w:type="dxa" w:w="1728"/>
          </w:tcPr>
          <w:p>
            <w:r>
              <w:t>5,8511</w:t>
            </w:r>
          </w:p>
        </w:tc>
      </w:tr>
    </w:tbl>
    <w:p>
      <w:r>
        <w:t>――――――――――――――――――――――――――――――</w:t>
      </w:r>
    </w:p>
    <w:p>
      <w:pPr>
        <w:pStyle w:val="Heading2"/>
      </w:pPr>
      <w:r>
        <w:t>6. Pontos de atenção para quem for dar manutenção</w:t>
      </w:r>
    </w:p>
    <w:p>
      <w:pPr>
        <w:pStyle w:val="ListBullet"/>
      </w:pPr>
      <w:r>
        <w:rPr>
          <w:b/>
        </w:rPr>
        <w:t>Fontes externas mudam sem aviso.</w:t>
      </w:r>
      <w:r>
        <w:t xml:space="preserve"> Três das regras documentadas no PRD original</w:t>
      </w:r>
    </w:p>
    <w:p>
      <w:r>
        <w:t>(endpoint de feriados do BACEN, endpoint PTAX em lote, divisor por moeda) **não</w:t>
      </w:r>
    </w:p>
    <w:p>
      <w:r>
        <w:t>existiam de fato** ou estavam erradas — só foram descobertas rodando o pipeline</w:t>
      </w:r>
    </w:p>
    <w:p>
      <w:r>
        <w:t>contra dados reais. Sempre que algo parecer "estranho demais para ser verdade"</w:t>
      </w:r>
    </w:p>
    <w:p>
      <w:r>
        <w:t>(valores 1000x menores, endpoints "convenientes demais"), vale a pena confirmar</w:t>
      </w:r>
    </w:p>
    <w:p>
      <w:r>
        <w:t>contra a fonte real antes de confiar no documento.</w:t>
      </w:r>
    </w:p>
    <w:p>
      <w:pPr>
        <w:pStyle w:val="ListBullet"/>
      </w:pPr>
      <w:r>
        <w:rPr>
          <w:b/>
        </w:rPr>
        <w:t>O download da B3 é instável</w:t>
      </w:r>
      <w:r>
        <w:t xml:space="preserve"> — às vezes devolve resposta vazia. Há retry com</w:t>
      </w:r>
    </w:p>
    <w:p>
      <w:r>
        <w:t>validação de conteúdo, mas se o problema persistir, o arquivo simplesmente não</w:t>
      </w:r>
    </w:p>
    <w:p>
      <w:r>
        <w:t>estará disponível ainda (lembrar da janela: B3 ~19h BRT, PTAX ~18h BRT).</w:t>
      </w:r>
    </w:p>
    <w:p>
      <w:pPr>
        <w:pStyle w:val="ListBullet"/>
      </w:pPr>
      <w:r>
        <w:rPr>
          <w:b/>
        </w:rPr>
        <w:t>PTAX ausente é normal para várias moedas</w:t>
      </w:r>
      <w:r>
        <w:t xml:space="preserve"> — não tratar isso como bug.</w:t>
      </w:r>
    </w:p>
    <w:p>
      <w:pPr>
        <w:pStyle w:val="ListBullet"/>
      </w:pPr>
      <w:r>
        <w:rPr>
          <w:b/>
        </w:rPr>
        <w:t>Adicionar uma nova moeda exige curadoria manual, não detecção automática.</w:t>
      </w:r>
      <w:r>
        <w:t xml:space="preserve"> O arquivo</w:t>
      </w:r>
    </w:p>
    <w:p>
      <w:r>
        <w:t>da B3 não identifica quais instrumentos são moedas — várias siglas de 3 letras parecem</w:t>
      </w:r>
    </w:p>
    <w:p>
      <w:r>
        <w:t xml:space="preserve">código de câmbio mas são tickers de ações (ex: </w:t>
      </w:r>
      <w:r>
        <w:rPr>
          <w:rFonts w:ascii="Courier New" w:hAnsi="Courier New"/>
        </w:rPr>
        <w:t>RYN</w:t>
      </w:r>
      <w:r>
        <w:t xml:space="preserve">, </w:t>
      </w:r>
      <w:r>
        <w:rPr>
          <w:rFonts w:ascii="Courier New" w:hAnsi="Courier New"/>
        </w:rPr>
        <w:t>RDC</w:t>
      </w:r>
      <w:r>
        <w:t xml:space="preserve">, </w:t>
      </w:r>
      <w:r>
        <w:rPr>
          <w:rFonts w:ascii="Courier New" w:hAnsi="Courier New"/>
        </w:rPr>
        <w:t>SEL</w:t>
      </w:r>
      <w:r>
        <w:t>). Antes de adicionar</w:t>
      </w:r>
    </w:p>
    <w:p>
      <w:r>
        <w:t xml:space="preserve">uma moeda em </w:t>
      </w:r>
      <w:r>
        <w:rPr>
          <w:rFonts w:ascii="Courier New" w:hAnsi="Courier New"/>
        </w:rPr>
        <w:t>INSTRUMENTOS</w:t>
      </w:r>
      <w:r>
        <w:t xml:space="preserve"> (config.py): (1) confirme que o sufixo escolhido decodifica</w:t>
      </w:r>
    </w:p>
    <w:p>
      <w:r>
        <w:t>para um valor plausível em BRL comparando com a cotação real do dia, e (2) rode o</w:t>
      </w:r>
    </w:p>
    <w:p>
      <w:r>
        <w:t>pipeline ponta a ponta e confirme que não dispara alerta de divergência &gt; 20% (R10).</w:t>
      </w:r>
    </w:p>
    <w:p>
      <w:r>
        <w:t>Pular essa validação foi exatamente o que causou os 5 bugs documentados em</w:t>
      </w:r>
    </w:p>
    <w:p>
      <w:r>
        <w:rPr>
          <w:rFonts w:ascii="Courier New" w:hAnsi="Courier New"/>
        </w:rPr>
        <w:t>SHIPPED_20260607.md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