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120"/>
        <w:jc w:val="center"/>
      </w:pPr>
      <w:r>
        <w:rPr>
          <w:rFonts w:ascii="Arial" w:cs="Arial" w:eastAsia="Arial" w:hAnsi="Arial"/>
          <w:b/>
          <w:bCs/>
          <w:color w:val="C0335A"/>
          <w:sz w:val="22"/>
          <w:szCs w:val="22"/>
        </w:rPr>
        <w:t xml:space="preserve">CONSULTORIA FGV · PUSH MATCHA · ENTREGÁVEL 2</w:t>
      </w:r>
    </w:p>
    <w:p>
      <w:pPr>
        <w:spacing w:after="160"/>
        <w:jc w:val="center"/>
      </w:pPr>
      <w:r>
        <w:rPr>
          <w:rFonts w:ascii="Arial" w:cs="Arial" w:eastAsia="Arial" w:hAnsi="Arial"/>
          <w:b/>
          <w:bCs/>
          <w:color w:val="1A2238"/>
          <w:sz w:val="42"/>
          <w:szCs w:val="42"/>
        </w:rPr>
        <w:t xml:space="preserve">PESQUISA ACADÊMICA SOBRE A GERAÇÃO Z</w:t>
      </w:r>
    </w:p>
    <w:p>
      <w:pPr>
        <w:spacing w:after="80"/>
        <w:jc w:val="center"/>
      </w:pPr>
      <w:r>
        <w:rPr>
          <w:rFonts w:ascii="Arial" w:cs="Arial" w:eastAsia="Arial" w:hAnsi="Arial"/>
          <w:i/>
          <w:iCs/>
          <w:color w:val="555555"/>
          <w:sz w:val="26"/>
          <w:szCs w:val="26"/>
        </w:rPr>
        <w:t xml:space="preserve">Relatório Consolidado — Documento Mestre para o Consumidor Sintético</w:t>
      </w:r>
    </w:p>
    <w:p>
      <w:pPr>
        <w:pBdr>
          <w:bottom w:val="single" w:color="C0335A" w:sz="8" w:space="2"/>
        </w:pBdr>
        <w:spacing w:after="240" w:before="60"/>
      </w:pPr>
    </w:p>
    <w:p>
      <w:pPr>
        <w:spacing w:after="60"/>
        <w:jc w:val="center"/>
      </w:pPr>
      <w:r>
        <w:rPr>
          <w:rFonts w:ascii="Arial" w:cs="Arial" w:eastAsia="Arial" w:hAnsi="Arial"/>
          <w:color w:val="1A2238"/>
          <w:sz w:val="21"/>
          <w:szCs w:val="21"/>
        </w:rPr>
        <w:t xml:space="preserve">Grupo: Guilherme Villares · Henrique Abdo · João Paulo Freire · Murilo Kappke · Pedro Santos</w:t>
      </w:r>
    </w:p>
    <w:p>
      <w:pPr>
        <w:spacing w:after="480"/>
        <w:jc w:val="center"/>
      </w:pPr>
      <w:r>
        <w:rPr>
          <w:rFonts w:ascii="Arial" w:cs="Arial" w:eastAsia="Arial" w:hAnsi="Arial"/>
          <w:color w:val="555555"/>
          <w:sz w:val="21"/>
          <w:szCs w:val="21"/>
        </w:rPr>
        <w:t xml:space="preserve">Prof. Gisele · FGV Práticas de Consultoria · 2026.1 · Maio 2026</w:t>
      </w:r>
    </w:p>
    <w:p/>
    <w:p/>
    <w:p/>
    <w:p>
      <w:pPr>
        <w:spacing w:after="60"/>
        <w:jc w:val="center"/>
      </w:pPr>
      <w:r>
        <w:rPr>
          <w:rFonts w:ascii="Arial" w:cs="Arial" w:eastAsia="Arial" w:hAnsi="Arial"/>
          <w:b/>
          <w:bCs/>
          <w:color w:val="C0335A"/>
          <w:sz w:val="20"/>
          <w:szCs w:val="20"/>
        </w:rPr>
        <w:t xml:space="preserve">SUBTÓPICOS INTEGRADOS</w:t>
      </w:r>
    </w:p>
    <w:p>
      <w:pPr>
        <w:spacing w:after="40"/>
        <w:jc w:val="center"/>
      </w:pPr>
      <w:r>
        <w:rPr>
          <w:rFonts w:ascii="Arial" w:cs="Arial" w:eastAsia="Arial" w:hAnsi="Arial"/>
          <w:color w:val="1A2238"/>
          <w:sz w:val="21"/>
          <w:szCs w:val="21"/>
        </w:rPr>
        <w:t xml:space="preserve">2.1  Revisão Bibliográfica — Fundamentos Psicológicos e Sociológicos do Consumo da Gen Z</w:t>
      </w:r>
    </w:p>
    <w:p>
      <w:pPr>
        <w:spacing w:after="40"/>
        <w:jc w:val="center"/>
      </w:pPr>
      <w:r>
        <w:rPr>
          <w:rFonts w:ascii="Arial" w:cs="Arial" w:eastAsia="Arial" w:hAnsi="Arial"/>
          <w:color w:val="1A2238"/>
          <w:sz w:val="21"/>
          <w:szCs w:val="21"/>
        </w:rPr>
        <w:t xml:space="preserve">2.2  Diagnóstico de Atritos e Barreiras de Conversão</w:t>
      </w:r>
    </w:p>
    <w:p>
      <w:pPr>
        <w:spacing w:after="40"/>
        <w:jc w:val="center"/>
      </w:pPr>
      <w:r>
        <w:rPr>
          <w:rFonts w:ascii="Arial" w:cs="Arial" w:eastAsia="Arial" w:hAnsi="Arial"/>
          <w:color w:val="1A2238"/>
          <w:sz w:val="21"/>
          <w:szCs w:val="21"/>
        </w:rPr>
        <w:t xml:space="preserve">2.3  Análise de Canais de Feedback — Preferências de Interação da Geração Z</w:t>
      </w:r>
    </w:p>
    <w:p>
      <w:pPr>
        <w:spacing w:after="40"/>
        <w:jc w:val="center"/>
      </w:pPr>
      <w:r>
        <w:rPr>
          <w:rFonts w:ascii="Arial" w:cs="Arial" w:eastAsia="Arial" w:hAnsi="Arial"/>
          <w:color w:val="1A2238"/>
          <w:sz w:val="21"/>
          <w:szCs w:val="21"/>
        </w:rPr>
        <w:t xml:space="preserve">2.4  Mapeamento de Hábitos Extracategoria da Geração Z</w:t>
      </w:r>
    </w:p>
    <w:p>
      <w:r>
        <w:br w:type="page"/>
      </w:r>
    </w:p>
    <w:p>
      <w:pPr>
        <w:pBdr>
          <w:bottom w:val="single" w:color="C0335A" w:sz="6" w:space="2"/>
        </w:pBdr>
        <w:shd w:fill="1A2238" w:val="clear"/>
        <w:spacing w:after="120" w:before="360"/>
        <w:ind w:left="200" w:right="200"/>
      </w:pPr>
      <w:r>
        <w:rPr>
          <w:rFonts w:ascii="Arial" w:cs="Arial" w:eastAsia="Arial" w:hAnsi="Arial"/>
          <w:b/>
          <w:bCs/>
          <w:color w:val="FFFFFF"/>
          <w:sz w:val="34"/>
          <w:szCs w:val="34"/>
        </w:rPr>
        <w:t xml:space="preserve">SUMÁRIO EXECUTIVO CONSOLIDADO</w:t>
      </w:r>
    </w:p>
    <w:p/>
    <w:p>
      <w:pPr>
        <w:spacing w:after="60" w:before="60"/>
        <w:jc w:val="both"/>
      </w:pPr>
      <w:r>
        <w:rPr>
          <w:rFonts w:ascii="Arial" w:cs="Arial" w:eastAsia="Arial" w:hAnsi="Arial"/>
          <w:color w:val="333333"/>
          <w:sz w:val="21"/>
          <w:szCs w:val="21"/>
        </w:rPr>
        <w:t xml:space="preserve">Este documento integra os quatro subtópicos do Entregável 2 do projeto de consultoria desenvolvido para a Push Matcha na disciplina Práticas de Consultoria da Fundação Getúlio Vargas (FGV). Seu objetivo central é constituir o insumo primário para a construção do Consumidor Sintético (Entregáveis 3 e 4) — uma IA capaz de simular o comportamento, as reações e as barreiras de um jovem da Geração Z frente às estratégias de comunicação e produto da Push Matcha.</w:t>
      </w:r>
    </w:p>
    <w:p/>
    <w:p>
      <w:pPr>
        <w:spacing w:after="60" w:before="60"/>
        <w:jc w:val="both"/>
      </w:pPr>
      <w:r>
        <w:rPr>
          <w:rFonts w:ascii="Arial" w:cs="Arial" w:eastAsia="Arial" w:hAnsi="Arial"/>
          <w:color w:val="333333"/>
          <w:sz w:val="21"/>
          <w:szCs w:val="21"/>
        </w:rPr>
        <w:t xml:space="preserve">O relatório está organizado em quatro grandes partes analíticas: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PARTE</w:t>
            </w:r>
          </w:p>
        </w:tc>
        <w:tc>
          <w:tcPr>
            <w:tcW w:type="dxa" w:w="636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CONTEÚDO E PROPÓSITO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PARTE 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Revisão Bibliográfica — mapeia os fundamentos psicológicos (TAD, identidade, economia comportamental, FOMO, psicologia positiva) e sociológicos (Bourdieu, práticas sociais, influência digital, consumo ético) que regem o comportamento de consumo da Gen Z.</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PARTE II</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Diagnóstico de Atritos e Barreiras — identifica e quantifica as cinco dimensões de barreira que bloqueiam a conversão da Gen Z em consumidores habituais de matcha: cultural/identitária, sensorial, praticidade, preço e comunicação.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PARTE III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Análise de Canais de Feedback — contrasta canais tradicionais (SAC, e-mail, formulários) com os formatos orgânicos e digitais que a Gen Z efetivamente usa: Instagram, TikTok, UGC e WhatsApp.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PARTE IV</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Mapeamento de Hábitos Extracategoria — traça o perfil completo do consumidor Gen Z além do nicho de bebidas: 8 macro-tendências (anti-brain rot, sober curious, creator economy, micro-tribos, saúde mental, treatonomics, nostalgia Y2K, gamificação).</w:t>
            </w:r>
          </w:p>
        </w:tc>
      </w:tr>
    </w:tbl>
    <w:p/>
    <w:p>
      <w:pPr>
        <w:spacing w:after="60" w:before="60"/>
        <w:jc w:val="both"/>
      </w:pPr>
      <w:r>
        <w:rPr>
          <w:rFonts w:ascii="Arial" w:cs="Arial" w:eastAsia="Arial" w:hAnsi="Arial"/>
          <w:color w:val="333333"/>
          <w:sz w:val="21"/>
          <w:szCs w:val="21"/>
        </w:rPr>
        <w:t xml:space="preserve">Os achados das quatro partes convergem para um diagnóstico central: a Geração Z é um público de micro-identidades em constante mutação, que compra como ato de curadoria de si mesmo. Para a Push Matcha, converter o apelo estético em hábito sustentável exige operar simultaneamente em quatro frentes — reposicionamento simbólico, democratização da experimentação, canais de escuta nativos e comunicação de identidade antes de funcionalidade.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35A" w:sz="4"/>
              <w:left w:val="single" w:color="C0335A" w:sz="12"/>
              <w:bottom w:val="single" w:color="C0335A" w:sz="4"/>
              <w:right w:val="single" w:color="CCCCCC" w:sz="1"/>
            </w:tcBorders>
            <w:shd w:fill="FFF0F4" w:val="clear"/>
            <w:tcMar>
              <w:top w:type="dxa" w:w="100"/>
              <w:left w:type="dxa" w:w="200"/>
              <w:bottom w:type="dxa" w:w="100"/>
              <w:right w:type="dxa" w:w="160"/>
            </w:tcMar>
          </w:tcPr>
          <w:p>
            <w:pPr>
              <w:jc w:val="both"/>
            </w:pPr>
            <w:r>
              <w:rPr>
                <w:rFonts w:ascii="Arial" w:cs="Arial" w:eastAsia="Arial" w:hAnsi="Arial"/>
                <w:i/>
                <w:iCs/>
                <w:color w:val="1A2238"/>
                <w:sz w:val="20"/>
                <w:szCs w:val="20"/>
              </w:rPr>
              <w:t xml:space="preserve">SÍNTESE PARA O CONSUMIDOR SINTÉTICO: O jovem que compra (ou pode comprar) Push Matcha não pensa apenas em bebidas. Pensa em foco, identidade, ritual, small luxuries, comunidade e resistência ao excesso digital. O Consumidor Sintético precisa carregar todas essas camadas para reagir de forma fidedigna a campanhas da marca.</w:t>
            </w:r>
          </w:p>
        </w:tc>
      </w:tr>
    </w:tbl>
    <w:p>
      <w:r>
        <w:br w:type="page"/>
      </w:r>
    </w:p>
    <w:p>
      <w:pPr>
        <w:pBdr>
          <w:bottom w:val="single" w:color="C0335A" w:sz="6" w:space="2"/>
        </w:pBdr>
        <w:shd w:fill="1A2238" w:val="clear"/>
        <w:spacing w:after="120" w:before="360"/>
        <w:ind w:left="200" w:right="200"/>
      </w:pPr>
      <w:r>
        <w:rPr>
          <w:rFonts w:ascii="Arial" w:cs="Arial" w:eastAsia="Arial" w:hAnsi="Arial"/>
          <w:b/>
          <w:bCs/>
          <w:color w:val="FFFFFF"/>
          <w:sz w:val="34"/>
          <w:szCs w:val="34"/>
        </w:rPr>
        <w:t xml:space="preserve">PARTE I — REVISÃO BIBLIOGRÁFICA: FUNDAMENTOS PSICOLÓGICOS E SOCIOLÓGICOS</w:t>
      </w:r>
    </w:p>
    <w:p/>
    <w:p>
      <w:pPr>
        <w:spacing w:after="60" w:before="60"/>
        <w:jc w:val="both"/>
      </w:pPr>
      <w:r>
        <w:rPr>
          <w:rFonts w:ascii="Arial" w:cs="Arial" w:eastAsia="Arial" w:hAnsi="Arial"/>
          <w:color w:val="333333"/>
          <w:sz w:val="21"/>
          <w:szCs w:val="21"/>
        </w:rPr>
        <w:t xml:space="preserve">Subtópico 2.1 · Autor: Grupo Push Matcha · FGV 2026.1</w:t>
      </w:r>
    </w:p>
    <w:p/>
    <w:p>
      <w:pPr>
        <w:pBdr>
          <w:bottom w:val="single" w:color="C0335A" w:sz="3" w:space="1"/>
        </w:pBdr>
        <w:spacing w:after="80" w:before="280"/>
      </w:pPr>
      <w:r>
        <w:rPr>
          <w:rFonts w:ascii="Arial" w:cs="Arial" w:eastAsia="Arial" w:hAnsi="Arial"/>
          <w:b/>
          <w:bCs/>
          <w:color w:val="C0335A"/>
          <w:sz w:val="26"/>
          <w:szCs w:val="26"/>
        </w:rPr>
        <w:t xml:space="preserve">1. CONTEXTUALIZAÇÃO: QUEM É A GERAÇÃO Z</w:t>
      </w:r>
    </w:p>
    <w:p>
      <w:pPr>
        <w:spacing w:after="60" w:before="60"/>
        <w:jc w:val="both"/>
      </w:pPr>
      <w:r>
        <w:rPr>
          <w:rFonts w:ascii="Arial" w:cs="Arial" w:eastAsia="Arial" w:hAnsi="Arial"/>
          <w:color w:val="333333"/>
          <w:sz w:val="21"/>
          <w:szCs w:val="21"/>
        </w:rPr>
        <w:t xml:space="preserve">A Geração Z compreende os indivíduos nascidos entre 1997 e 2012 (Dimock, 2019). É a primeira geração a crescer inteiramente imersa em tecnologia digital, redes sociais e hiperconectividade, o que determina uma forma radicalmente distinta de construção identitária, socialização e comportamento de consumo. No contexto brasileiro, a Gen Z representa cerca de 30 milhões de consumidores em potencial, com crescente poder aquisitivo próprio e influência decisória sobre as compras domésticas (IBGE, 2022).</w:t>
      </w:r>
    </w:p>
    <w:p/>
    <w:p>
      <w:pPr>
        <w:spacing w:after="60" w:before="60"/>
        <w:jc w:val="both"/>
      </w:pPr>
      <w:r>
        <w:rPr>
          <w:rFonts w:ascii="Arial" w:cs="Arial" w:eastAsia="Arial" w:hAnsi="Arial"/>
          <w:color w:val="333333"/>
          <w:sz w:val="21"/>
          <w:szCs w:val="21"/>
        </w:rPr>
        <w:t xml:space="preserve">A Push Matcha posiciona-se no cruzamento entre wellness, estética e cultura digital — terreno fértil para a Gen Z. No entanto, o diagnóstico inicial revela bloqueios na conversão: altos CACs e canais de feedback obsoletos, sugerindo lacunas na compreensão dos drivers psicológicos e sociológicos que orientam a decisão de compra desse público.</w:t>
      </w:r>
    </w:p>
    <w:p/>
    <w:p>
      <w:pPr>
        <w:pBdr>
          <w:bottom w:val="single" w:color="C0335A" w:sz="3" w:space="1"/>
        </w:pBdr>
        <w:spacing w:after="80" w:before="280"/>
      </w:pPr>
      <w:r>
        <w:rPr>
          <w:rFonts w:ascii="Arial" w:cs="Arial" w:eastAsia="Arial" w:hAnsi="Arial"/>
          <w:b/>
          <w:bCs/>
          <w:color w:val="C0335A"/>
          <w:sz w:val="26"/>
          <w:szCs w:val="26"/>
        </w:rPr>
        <w:t xml:space="preserve">2. FUNDAMENTOS PSICOLÓGICOS DO CONSUMO DA GEN Z</w:t>
      </w:r>
    </w:p>
    <w:p/>
    <w:p>
      <w:pPr>
        <w:spacing w:after="60" w:before="200"/>
      </w:pPr>
      <w:r>
        <w:rPr>
          <w:rFonts w:ascii="Arial" w:cs="Arial" w:eastAsia="Arial" w:hAnsi="Arial"/>
          <w:b/>
          <w:bCs/>
          <w:color w:val="1A2238"/>
          <w:sz w:val="23"/>
          <w:szCs w:val="23"/>
        </w:rPr>
        <w:t xml:space="preserve">2.1 Teoria da Autodeterminação (Deci &amp; Ryan, 1985 / 2000)</w:t>
      </w:r>
    </w:p>
    <w:p>
      <w:pPr>
        <w:spacing w:after="60" w:before="60"/>
        <w:jc w:val="both"/>
      </w:pPr>
      <w:r>
        <w:rPr>
          <w:rFonts w:ascii="Arial" w:cs="Arial" w:eastAsia="Arial" w:hAnsi="Arial"/>
          <w:color w:val="333333"/>
          <w:sz w:val="21"/>
          <w:szCs w:val="21"/>
        </w:rPr>
        <w:t xml:space="preserve">A TAD postula que o comportamento humano é motivado por três necessidades psicológicas básicas: autonomia (controle sobre as próprias escolhas), competência (eficácia e domínio) e vínculo (pertencimento e conexão). A satisfação dessas necessidades é condição para o bem-estar psicológico e a motivação intrínseca sustentável.</w:t>
      </w:r>
    </w:p>
    <w:p/>
    <w:p>
      <w:pPr>
        <w:spacing w:after="60" w:before="60"/>
        <w:jc w:val="both"/>
      </w:pPr>
      <w:r>
        <w:rPr>
          <w:rFonts w:ascii="Arial" w:cs="Arial" w:eastAsia="Arial" w:hAnsi="Arial"/>
          <w:color w:val="333333"/>
          <w:sz w:val="21"/>
          <w:szCs w:val="21"/>
        </w:rPr>
        <w:t xml:space="preserve">Aplicação à Gen Z: a geração demonstra elevada sensibilidade à necessidade de autonomia. Rejeita comunicações percebidas como imposições. Marcas que oferecem cocriação, personalização e participação genuína satisfazem essa necessidade. Para a Push Matcha, isso significa convidar o consumidor a criar receitas, compartilhar experiências e participar da narrativa da marca.</w:t>
      </w:r>
    </w:p>
    <w:p/>
    <w:p>
      <w:pPr>
        <w:spacing w:after="60" w:before="60"/>
        <w:jc w:val="both"/>
      </w:pPr>
      <w:r>
        <w:rPr>
          <w:rFonts w:ascii="Arial" w:cs="Arial" w:eastAsia="Arial" w:hAnsi="Arial"/>
          <w:color w:val="333333"/>
          <w:sz w:val="21"/>
          <w:szCs w:val="21"/>
        </w:rPr>
        <w:t xml:space="preserve">A necessidade de competência explica o atrativo de produtos com "curva de aprendizado" — como o matcha, cujos rituais de preparo conferem ao consumidor senso de maestria e sofisticação cultural performável nas redes sociais.</w:t>
      </w:r>
    </w:p>
    <w:p>
      <w:pPr>
        <w:pBdr>
          <w:left w:val="single" w:color="C0335A" w:sz="4" w:space="2"/>
        </w:pBdr>
        <w:spacing w:after="80" w:before="80"/>
        <w:ind w:left="600"/>
      </w:pPr>
      <w:r>
        <w:rPr>
          <w:rFonts w:ascii="Arial" w:cs="Arial" w:eastAsia="Arial" w:hAnsi="Arial"/>
          <w:i/>
          <w:iCs/>
          <w:color w:val="555555"/>
          <w:sz w:val="20"/>
          <w:szCs w:val="20"/>
        </w:rPr>
        <w:t xml:space="preserve">"As pessoas não são somente motivadas por recompensas externas. A motivação intrínseca — fazer algo pelo prazer e satisfação inerentes à atividade — é fundamental para o engajamento genuíno e duradouro." — Deci &amp; Ryan, 2000, p. 227</w:t>
      </w:r>
    </w:p>
    <w:p/>
    <w:p>
      <w:pPr>
        <w:spacing w:after="60" w:before="200"/>
      </w:pPr>
      <w:r>
        <w:rPr>
          <w:rFonts w:ascii="Arial" w:cs="Arial" w:eastAsia="Arial" w:hAnsi="Arial"/>
          <w:b/>
          <w:bCs/>
          <w:color w:val="1A2238"/>
          <w:sz w:val="23"/>
          <w:szCs w:val="23"/>
        </w:rPr>
        <w:t xml:space="preserve">2.2 Psicologia da Identidade e Consumo Simbólico</w:t>
      </w:r>
    </w:p>
    <w:p>
      <w:pPr>
        <w:spacing w:after="60" w:before="60"/>
        <w:jc w:val="both"/>
      </w:pPr>
      <w:r>
        <w:rPr>
          <w:rFonts w:ascii="Arial" w:cs="Arial" w:eastAsia="Arial" w:hAnsi="Arial"/>
          <w:color w:val="333333"/>
          <w:sz w:val="21"/>
          <w:szCs w:val="21"/>
        </w:rPr>
        <w:t xml:space="preserve">A teoria da identidade social (Tajfel &amp; Turner, 1979) demonstra que os indivíduos constroem parte significativa de sua identidade por meio de escolhas de consumo. Os produtos são adquiridos não apenas pelo valor funcional, mas pelo que simbolizam sobre quem o consumidor é — ou aspira ser — dentro de grupos sociais de referência.</w:t>
      </w:r>
    </w:p>
    <w:p/>
    <w:p>
      <w:pPr>
        <w:spacing w:after="60" w:before="60"/>
        <w:jc w:val="both"/>
      </w:pPr>
      <w:r>
        <w:rPr>
          <w:rFonts w:ascii="Arial" w:cs="Arial" w:eastAsia="Arial" w:hAnsi="Arial"/>
          <w:color w:val="333333"/>
          <w:sz w:val="21"/>
          <w:szCs w:val="21"/>
        </w:rPr>
        <w:t xml:space="preserve">Goffman (1959), em sua teoria da dramaturgia social, antecipou o que hoje se manifesta amplificado nas redes sociais: o consumidor é um ator que performa identidades diante de audiências. Instagram e TikTok são os teatros dessas performances.</w:t>
      </w:r>
    </w:p>
    <w:p/>
    <w:p>
      <w:pPr>
        <w:spacing w:after="60" w:before="60"/>
        <w:jc w:val="both"/>
      </w:pPr>
      <w:r>
        <w:rPr>
          <w:rFonts w:ascii="Arial" w:cs="Arial" w:eastAsia="Arial" w:hAnsi="Arial"/>
          <w:color w:val="333333"/>
          <w:sz w:val="21"/>
          <w:szCs w:val="21"/>
        </w:rPr>
        <w:t xml:space="preserve">Belk (1988) introduziu o "self estendido" — as posses como extensões do ego. Para a Gen Z, isso se expande para o "self digital estendido": um matcha fotografado em flat lay cuidadosamente composto não é apenas uma bebida — é um statement estético, um posicionamento cultural e uma afiliação a uma comunidade de valores.</w:t>
      </w:r>
    </w:p>
    <w:p/>
    <w:p>
      <w:pPr>
        <w:spacing w:after="60" w:before="60"/>
        <w:jc w:val="both"/>
      </w:pPr>
      <w:r>
        <w:rPr>
          <w:rFonts w:ascii="Arial" w:cs="Arial" w:eastAsia="Arial" w:hAnsi="Arial"/>
          <w:color w:val="333333"/>
          <w:sz w:val="21"/>
          <w:szCs w:val="21"/>
        </w:rPr>
        <w:t xml:space="preserve">Identidade Fluida e Multidimensional: diferentemente das gerações anteriores, a Gen Z não busca uma identidade fixa e coerente, mas constrói identidades múltiplas, situacionais e às vezes contraditórias (Bauman, 2005; Francis &amp; Hoefel, 2018). O mesmo indivíduo pode consumir matcha como símbolo de wellness num contexto e como marcador estético em outro.</w:t>
      </w:r>
    </w:p>
    <w:p/>
    <w:p>
      <w:pPr>
        <w:spacing w:after="60" w:before="200"/>
      </w:pPr>
      <w:r>
        <w:rPr>
          <w:rFonts w:ascii="Arial" w:cs="Arial" w:eastAsia="Arial" w:hAnsi="Arial"/>
          <w:b/>
          <w:bCs/>
          <w:color w:val="1A2238"/>
          <w:sz w:val="23"/>
          <w:szCs w:val="23"/>
        </w:rPr>
        <w:t xml:space="preserve">2.3 Economia Comportamental e Vieses Cognitivos</w:t>
      </w:r>
    </w:p>
    <w:p>
      <w:pPr>
        <w:spacing w:after="60" w:before="60"/>
        <w:jc w:val="both"/>
      </w:pPr>
      <w:r>
        <w:rPr>
          <w:rFonts w:ascii="Arial" w:cs="Arial" w:eastAsia="Arial" w:hAnsi="Arial"/>
          <w:color w:val="333333"/>
          <w:sz w:val="21"/>
          <w:szCs w:val="21"/>
        </w:rPr>
        <w:t xml:space="preserve">A economia comportamental de Kahneman e Tversky (1979) e Thaler e Sunstein (2008) oferece ferramentas poderosas para compreender como a Gen Z decide. Dada a sobrecarga informacional do ambiente digital, o Sistema 1 — rápido, intuitivo e emocional — frequentemente prevalece nas decisões de compra impulsivas mediadas por redes sociais.</w:t>
      </w:r>
    </w:p>
    <w:p/>
    <w:p>
      <w:pPr>
        <w:spacing w:after="60" w:before="60"/>
        <w:jc w:val="both"/>
      </w:pPr>
      <w:r>
        <w:rPr>
          <w:rFonts w:ascii="Arial" w:cs="Arial" w:eastAsia="Arial" w:hAnsi="Arial"/>
          <w:color w:val="333333"/>
          <w:sz w:val="21"/>
          <w:szCs w:val="21"/>
        </w:rPr>
        <w:t xml:space="preserve">Principais heurísticas e vieses relevantes:</w:t>
      </w:r>
    </w:p>
    <w:p>
      <w:pPr>
        <w:pStyle w:val="ListParagraph"/>
        <w:numPr>
          <w:ilvl w:val="0"/>
          <w:numId w:val="2"/>
        </w:numPr>
        <w:spacing w:after="40" w:before="40"/>
      </w:pPr>
      <w:r>
        <w:rPr>
          <w:rFonts w:ascii="Arial" w:cs="Arial" w:eastAsia="Arial" w:hAnsi="Arial"/>
          <w:color w:val="333333"/>
          <w:sz w:val="21"/>
          <w:szCs w:val="21"/>
        </w:rPr>
        <w:t xml:space="preserve">Viés de disponibilidade: produtos altamente visíveis no feed são percebidos como mais populares e desejáveis.</w:t>
      </w:r>
    </w:p>
    <w:p>
      <w:pPr>
        <w:pStyle w:val="ListParagraph"/>
        <w:numPr>
          <w:ilvl w:val="0"/>
          <w:numId w:val="2"/>
        </w:numPr>
        <w:spacing w:after="40" w:before="40"/>
      </w:pPr>
      <w:r>
        <w:rPr>
          <w:rFonts w:ascii="Arial" w:cs="Arial" w:eastAsia="Arial" w:hAnsi="Arial"/>
          <w:color w:val="333333"/>
          <w:sz w:val="21"/>
          <w:szCs w:val="21"/>
        </w:rPr>
        <w:t xml:space="preserve">Efeito halo: marcas com estética visual sofisticada são automaticamente associadas a qualidade superior.</w:t>
      </w:r>
    </w:p>
    <w:p>
      <w:pPr>
        <w:pStyle w:val="ListParagraph"/>
        <w:numPr>
          <w:ilvl w:val="0"/>
          <w:numId w:val="2"/>
        </w:numPr>
        <w:spacing w:after="40" w:before="40"/>
      </w:pPr>
      <w:r>
        <w:rPr>
          <w:rFonts w:ascii="Arial" w:cs="Arial" w:eastAsia="Arial" w:hAnsi="Arial"/>
          <w:color w:val="333333"/>
          <w:sz w:val="21"/>
          <w:szCs w:val="21"/>
        </w:rPr>
        <w:t xml:space="preserve">Prova social: reviews e UGC funcionam como validação heurística eficaz.</w:t>
      </w:r>
    </w:p>
    <w:p>
      <w:pPr>
        <w:pStyle w:val="ListParagraph"/>
        <w:numPr>
          <w:ilvl w:val="0"/>
          <w:numId w:val="2"/>
        </w:numPr>
        <w:spacing w:after="40" w:before="40"/>
      </w:pPr>
      <w:r>
        <w:rPr>
          <w:rFonts w:ascii="Arial" w:cs="Arial" w:eastAsia="Arial" w:hAnsi="Arial"/>
          <w:color w:val="333333"/>
          <w:sz w:val="21"/>
          <w:szCs w:val="21"/>
        </w:rPr>
        <w:t xml:space="preserve">Escassez percebida: edições limitadas e produtos sazonais aumentam urgência de compra.</w:t>
      </w:r>
    </w:p>
    <w:p/>
    <w:p>
      <w:pPr>
        <w:spacing w:after="60" w:before="60"/>
        <w:jc w:val="both"/>
      </w:pPr>
      <w:r>
        <w:rPr>
          <w:rFonts w:ascii="Arial" w:cs="Arial" w:eastAsia="Arial" w:hAnsi="Arial"/>
          <w:color w:val="333333"/>
          <w:sz w:val="21"/>
          <w:szCs w:val="21"/>
        </w:rPr>
        <w:t xml:space="preserve">FOMO (Fear Of Missing Out), derivado da aversão à perda de Kahneman, é pronunciado na Gen Z. A exposição constante a experiências e produtos consumidos por pares cria pressão psicológica de participação — compra por pertencimento, não por necessidade. Para a Push Matcha, campanhas que ativem FOMO por meio de experiências comunitárias e receitas virais podem reduzir o CAC.</w:t>
      </w:r>
    </w:p>
    <w:p/>
    <w:p>
      <w:pPr>
        <w:spacing w:after="60" w:before="200"/>
      </w:pPr>
      <w:r>
        <w:rPr>
          <w:rFonts w:ascii="Arial" w:cs="Arial" w:eastAsia="Arial" w:hAnsi="Arial"/>
          <w:b/>
          <w:bCs/>
          <w:color w:val="1A2238"/>
          <w:sz w:val="23"/>
          <w:szCs w:val="23"/>
        </w:rPr>
        <w:t xml:space="preserve">2.4 Teoria da Motivação e Hierarquia de Necessidades no Wellness</w:t>
      </w:r>
    </w:p>
    <w:p>
      <w:pPr>
        <w:spacing w:after="60" w:before="60"/>
        <w:jc w:val="both"/>
      </w:pPr>
      <w:r>
        <w:rPr>
          <w:rFonts w:ascii="Arial" w:cs="Arial" w:eastAsia="Arial" w:hAnsi="Arial"/>
          <w:color w:val="333333"/>
          <w:sz w:val="21"/>
          <w:szCs w:val="21"/>
        </w:rPr>
        <w:t xml:space="preserve">O mercado de wellness — no qual se insere o matcha — opera nos níveis superiores da hierarquia de Maslow: estima (sentir-se especial, saudável, diferenciado) e autorrealização (expressar valores, cuidar de si). A Gen Z adiciona uma camada específica: a autorrealização é performada publicamente nas redes sociais, integrando os níveis de estima e pertencimento de forma inseparável.</w:t>
      </w:r>
    </w:p>
    <w:p/>
    <w:p>
      <w:pPr>
        <w:spacing w:after="60" w:before="200"/>
      </w:pPr>
      <w:r>
        <w:rPr>
          <w:rFonts w:ascii="Arial" w:cs="Arial" w:eastAsia="Arial" w:hAnsi="Arial"/>
          <w:b/>
          <w:bCs/>
          <w:color w:val="1A2238"/>
          <w:sz w:val="23"/>
          <w:szCs w:val="23"/>
        </w:rPr>
        <w:t xml:space="preserve">2.5 Psicologia Positiva e Ritualidade no Consumo (Seligman &amp; Csikszentmihalyi)</w:t>
      </w:r>
    </w:p>
    <w:p>
      <w:pPr>
        <w:spacing w:after="60" w:before="60"/>
        <w:jc w:val="both"/>
      </w:pPr>
      <w:r>
        <w:rPr>
          <w:rFonts w:ascii="Arial" w:cs="Arial" w:eastAsia="Arial" w:hAnsi="Arial"/>
          <w:color w:val="333333"/>
          <w:sz w:val="21"/>
          <w:szCs w:val="21"/>
        </w:rPr>
        <w:t xml:space="preserve">O modelo PERMA (Emoções positivas, Engajamento, Relacionamentos, Significado, Realizações) explica por que produtos de wellness com alta ritualidade criam hábitos mais sustentáveis do que bebidas funcionais de consumo rápido: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DIMENSÃO PERMA</w:t>
            </w:r>
          </w:p>
        </w:tc>
        <w:tc>
          <w:tcPr>
            <w:tcW w:type="dxa" w:w="636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APLICAÇÃO AO MATCHA PUSH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Emoções positivas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O ritual de preparo como micro-experiência de prazer e calma diária.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Engajamento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Estado de flow experimentado em rituais repetitivos de preparo com chasen.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Relacionamentos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Compartilhar o matcha como ato de conexão social (presencial ou digital).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Significado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Associar o consumo a valores de sustentabilidade, mindfulness e autocuidado.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Realizações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Dominar a técnica de preparo como expressão de competência e identidade.</w:t>
            </w:r>
          </w:p>
        </w:tc>
      </w:tr>
    </w:tbl>
    <w:p/>
    <w:p>
      <w:pPr>
        <w:pBdr>
          <w:bottom w:val="single" w:color="C0335A" w:sz="3" w:space="1"/>
        </w:pBdr>
        <w:spacing w:after="80" w:before="280"/>
      </w:pPr>
      <w:r>
        <w:rPr>
          <w:rFonts w:ascii="Arial" w:cs="Arial" w:eastAsia="Arial" w:hAnsi="Arial"/>
          <w:b/>
          <w:bCs/>
          <w:color w:val="C0335A"/>
          <w:sz w:val="26"/>
          <w:szCs w:val="26"/>
        </w:rPr>
        <w:t xml:space="preserve">3. FUNDAMENTOS SOCIOLÓGICOS DO CONSUMO DA GEN Z</w:t>
      </w:r>
    </w:p>
    <w:p/>
    <w:p>
      <w:pPr>
        <w:spacing w:after="60" w:before="200"/>
      </w:pPr>
      <w:r>
        <w:rPr>
          <w:rFonts w:ascii="Arial" w:cs="Arial" w:eastAsia="Arial" w:hAnsi="Arial"/>
          <w:b/>
          <w:bCs/>
          <w:color w:val="1A2238"/>
          <w:sz w:val="23"/>
          <w:szCs w:val="23"/>
        </w:rPr>
        <w:t xml:space="preserve">3.1 Teoria do Capital Cultural e Social (Bourdieu, 1979)</w:t>
      </w:r>
    </w:p>
    <w:p>
      <w:pPr>
        <w:spacing w:after="60" w:before="60"/>
        <w:jc w:val="both"/>
      </w:pPr>
      <w:r>
        <w:rPr>
          <w:rFonts w:ascii="Arial" w:cs="Arial" w:eastAsia="Arial" w:hAnsi="Arial"/>
          <w:color w:val="333333"/>
          <w:sz w:val="21"/>
          <w:szCs w:val="21"/>
        </w:rPr>
        <w:t xml:space="preserve">Bourdieu demonstrou que o consumo é um campo de batalha simbólico onde os agentes mobilizam capital econômico, cultural e social para se posicionar na hierarquia social. O conceito de habitus — conjunto de disposições incorporadas ao longo da socialização — é fundamental: o matcha carrega capital cultural específico (cultura japonesa, wellness de alta performance, estética de specialty coffee), funcionando como marcador de pertencimento a grupos de jovens urbanos, educados e culturalmente cosmopolitas.</w:t>
      </w:r>
    </w:p>
    <w:p/>
    <w:p>
      <w:pPr>
        <w:spacing w:after="60" w:before="60"/>
        <w:jc w:val="both"/>
      </w:pPr>
      <w:r>
        <w:rPr>
          <w:rFonts w:ascii="Arial" w:cs="Arial" w:eastAsia="Arial" w:hAnsi="Arial"/>
          <w:color w:val="333333"/>
          <w:sz w:val="21"/>
          <w:szCs w:val="21"/>
        </w:rPr>
        <w:t xml:space="preserve">Implicação estratégica: o principal obstáculo à expansão do mercado de matcha não é o preço, mas a percepção de que o produto pertence a um campo cultural específico e excludente. Estratégias de democratização simbólica — sem perda de aspiracionalidade — são fundamentais para o crescimento da base de consumidores.</w:t>
      </w:r>
    </w:p>
    <w:p>
      <w:pPr>
        <w:pBdr>
          <w:left w:val="single" w:color="C0335A" w:sz="4" w:space="2"/>
        </w:pBdr>
        <w:spacing w:after="80" w:before="80"/>
        <w:ind w:left="600"/>
      </w:pPr>
      <w:r>
        <w:rPr>
          <w:rFonts w:ascii="Arial" w:cs="Arial" w:eastAsia="Arial" w:hAnsi="Arial"/>
          <w:i/>
          <w:iCs/>
          <w:color w:val="555555"/>
          <w:sz w:val="20"/>
          <w:szCs w:val="20"/>
        </w:rPr>
        <w:t xml:space="preserve">"Os gostos classificam e classificam o classificador. Os sujeitos sociais se distinguem pelas distinções que fazem, bonito e feio, distinto e vulgar." — Bourdieu, A Distinção, 1979, p. 6</w:t>
      </w:r>
    </w:p>
    <w:p/>
    <w:p>
      <w:pPr>
        <w:spacing w:after="60" w:before="200"/>
      </w:pPr>
      <w:r>
        <w:rPr>
          <w:rFonts w:ascii="Arial" w:cs="Arial" w:eastAsia="Arial" w:hAnsi="Arial"/>
          <w:b/>
          <w:bCs/>
          <w:color w:val="1A2238"/>
          <w:sz w:val="23"/>
          <w:szCs w:val="23"/>
        </w:rPr>
        <w:t xml:space="preserve">3.2 Teoria das Gerações e o Perfil Geracional da Gen Z</w:t>
      </w:r>
    </w:p>
    <w:p>
      <w:pPr>
        <w:spacing w:after="60" w:before="60"/>
        <w:jc w:val="both"/>
      </w:pPr>
      <w:r>
        <w:rPr>
          <w:rFonts w:ascii="Arial" w:cs="Arial" w:eastAsia="Arial" w:hAnsi="Arial"/>
          <w:color w:val="333333"/>
          <w:sz w:val="21"/>
          <w:szCs w:val="21"/>
        </w:rPr>
        <w:t xml:space="preserve">Francis e Hoefel (2018), em estudo da McKinsey, identificaram que a Gen Z é a "geração verdade": mais pragmática, analítica e cética que os Millennials em relação ao marketing, busca autenticidade acima de tudo e detecta inconsistências entre discurso e prática das marcas com facilidade. Ao mesmo tempo, é a geração mais disposta a pagar premium por produtos alinhados com seus valores.</w:t>
      </w:r>
    </w:p>
    <w:p/>
    <w:p>
      <w:pPr>
        <w:spacing w:after="60" w:before="60"/>
        <w:jc w:val="both"/>
      </w:pPr>
      <w:r>
        <w:rPr>
          <w:rFonts w:ascii="Arial" w:cs="Arial" w:eastAsia="Arial" w:hAnsi="Arial"/>
          <w:color w:val="333333"/>
          <w:sz w:val="21"/>
          <w:szCs w:val="21"/>
        </w:rPr>
        <w:t xml:space="preserve">Eventos formativos que moldaram o perfil de consumidor Gen Z:</w:t>
      </w:r>
    </w:p>
    <w:p>
      <w:pPr>
        <w:pStyle w:val="ListParagraph"/>
        <w:numPr>
          <w:ilvl w:val="0"/>
          <w:numId w:val="2"/>
        </w:numPr>
        <w:spacing w:after="40" w:before="40"/>
      </w:pPr>
      <w:r>
        <w:rPr>
          <w:rFonts w:ascii="Arial" w:cs="Arial" w:eastAsia="Arial" w:hAnsi="Arial"/>
          <w:color w:val="333333"/>
          <w:sz w:val="21"/>
          <w:szCs w:val="21"/>
        </w:rPr>
        <w:t xml:space="preserve">Crise financeira de 2008 → insegurança econômica e pragmatismo</w:t>
      </w:r>
    </w:p>
    <w:p>
      <w:pPr>
        <w:pStyle w:val="ListParagraph"/>
        <w:numPr>
          <w:ilvl w:val="0"/>
          <w:numId w:val="2"/>
        </w:numPr>
        <w:spacing w:after="40" w:before="40"/>
      </w:pPr>
      <w:r>
        <w:rPr>
          <w:rFonts w:ascii="Arial" w:cs="Arial" w:eastAsia="Arial" w:hAnsi="Arial"/>
          <w:color w:val="333333"/>
          <w:sz w:val="21"/>
          <w:szCs w:val="21"/>
        </w:rPr>
        <w:t xml:space="preserve">Ubiquidade de smartphones e redes sociais → identidade digital constitutiva</w:t>
      </w:r>
    </w:p>
    <w:p>
      <w:pPr>
        <w:pStyle w:val="ListParagraph"/>
        <w:numPr>
          <w:ilvl w:val="0"/>
          <w:numId w:val="2"/>
        </w:numPr>
        <w:spacing w:after="40" w:before="40"/>
      </w:pPr>
      <w:r>
        <w:rPr>
          <w:rFonts w:ascii="Arial" w:cs="Arial" w:eastAsia="Arial" w:hAnsi="Arial"/>
          <w:color w:val="333333"/>
          <w:sz w:val="21"/>
          <w:szCs w:val="21"/>
        </w:rPr>
        <w:t xml:space="preserve">Crises climáticas → consciência ambiental e consumo responsável</w:t>
      </w:r>
    </w:p>
    <w:p>
      <w:pPr>
        <w:pStyle w:val="ListParagraph"/>
        <w:numPr>
          <w:ilvl w:val="0"/>
          <w:numId w:val="2"/>
        </w:numPr>
        <w:spacing w:after="40" w:before="40"/>
      </w:pPr>
      <w:r>
        <w:rPr>
          <w:rFonts w:ascii="Arial" w:cs="Arial" w:eastAsia="Arial" w:hAnsi="Arial"/>
          <w:color w:val="333333"/>
          <w:sz w:val="21"/>
          <w:szCs w:val="21"/>
        </w:rPr>
        <w:t xml:space="preserve">Pandemia de COVID-19 → valorização da saúde, bem-estar e relações autênticas</w:t>
      </w:r>
    </w:p>
    <w:p>
      <w:pPr>
        <w:pStyle w:val="ListParagraph"/>
        <w:numPr>
          <w:ilvl w:val="0"/>
          <w:numId w:val="2"/>
        </w:numPr>
        <w:spacing w:after="40" w:before="40"/>
      </w:pPr>
      <w:r>
        <w:rPr>
          <w:rFonts w:ascii="Arial" w:cs="Arial" w:eastAsia="Arial" w:hAnsi="Arial"/>
          <w:color w:val="333333"/>
          <w:sz w:val="21"/>
          <w:szCs w:val="21"/>
        </w:rPr>
        <w:t xml:space="preserve">BLM e pauta LGBTQIA+ → marcas com posicionamento claro sobre questões sociais</w:t>
      </w:r>
    </w:p>
    <w:p/>
    <w:p>
      <w:pPr>
        <w:spacing w:after="60" w:before="200"/>
      </w:pPr>
      <w:r>
        <w:rPr>
          <w:rFonts w:ascii="Arial" w:cs="Arial" w:eastAsia="Arial" w:hAnsi="Arial"/>
          <w:b/>
          <w:bCs/>
          <w:color w:val="1A2238"/>
          <w:sz w:val="23"/>
          <w:szCs w:val="23"/>
        </w:rPr>
        <w:t xml:space="preserve">3.3 Consumo como Prática Social (Shove, Pantzar &amp; Watson, 2012)</w:t>
      </w:r>
    </w:p>
    <w:p>
      <w:pPr>
        <w:spacing w:after="60" w:before="60"/>
        <w:jc w:val="both"/>
      </w:pPr>
      <w:r>
        <w:rPr>
          <w:rFonts w:ascii="Arial" w:cs="Arial" w:eastAsia="Arial" w:hAnsi="Arial"/>
          <w:color w:val="333333"/>
          <w:sz w:val="21"/>
          <w:szCs w:val="21"/>
        </w:rPr>
        <w:t xml:space="preserve">A teoria das práticas sociais propõe que o consumo é constituído por práticas coletivas. Uma prática é formada por três elementos: materiais (objetos e produtos), competências (saber-fazer) e significados (valores e narrativas associados).</w:t>
      </w:r>
    </w:p>
    <w:p/>
    <w:p>
      <w:pPr>
        <w:spacing w:after="60" w:before="60"/>
        <w:jc w:val="both"/>
      </w:pPr>
      <w:r>
        <w:rPr>
          <w:rFonts w:ascii="Arial" w:cs="Arial" w:eastAsia="Arial" w:hAnsi="Arial"/>
          <w:color w:val="333333"/>
          <w:sz w:val="21"/>
          <w:szCs w:val="21"/>
        </w:rPr>
        <w:t xml:space="preserve">Aplicado ao matcha, a consolidação do consumo como hábito sustentável na Gen Z depende de: (1) materiais acessíveis e de qualidade — o produto e os utensílios; (2) competências difundidas socialmente — tutoriais, receitas, comunidades de preparo; e (3) significados compartilhados — wellness, foco, cultura japonesa, sustentabilidade. A Push Matcha precisa investir nas três dimensões simultaneamente.</w:t>
      </w:r>
    </w:p>
    <w:p/>
    <w:p>
      <w:pPr>
        <w:spacing w:after="60" w:before="200"/>
      </w:pPr>
      <w:r>
        <w:rPr>
          <w:rFonts w:ascii="Arial" w:cs="Arial" w:eastAsia="Arial" w:hAnsi="Arial"/>
          <w:b/>
          <w:bCs/>
          <w:color w:val="1A2238"/>
          <w:sz w:val="23"/>
          <w:szCs w:val="23"/>
        </w:rPr>
        <w:t xml:space="preserve">3.4 Influência Social, Pares e Cultura Digital</w:t>
      </w:r>
    </w:p>
    <w:p>
      <w:pPr>
        <w:spacing w:after="60" w:before="60"/>
        <w:jc w:val="both"/>
      </w:pPr>
      <w:r>
        <w:rPr>
          <w:rFonts w:ascii="Arial" w:cs="Arial" w:eastAsia="Arial" w:hAnsi="Arial"/>
          <w:color w:val="333333"/>
          <w:sz w:val="21"/>
          <w:szCs w:val="21"/>
        </w:rPr>
        <w:t xml:space="preserve">A teoria da aprendizagem social de Bandura (1977) demonstrou que comportamentos são adquiridos por observação e imitação. Nas redes sociais, esse processo é amplificado exponencialmente. Pesquisas recentes (Influencer Marketing Hub, 2023; Nielsen, 2022) demonstram que a Gen Z confia significativamente mais em micro-influenciadores (10.000–100.000 seguidores) do que em celebridades — percebidos como pares, com maior autenticidade.</w:t>
      </w:r>
    </w:p>
    <w:p/>
    <w:p>
      <w:pPr>
        <w:spacing w:after="60" w:before="60"/>
        <w:jc w:val="both"/>
      </w:pPr>
      <w:r>
        <w:rPr>
          <w:rFonts w:ascii="Arial" w:cs="Arial" w:eastAsia="Arial" w:hAnsi="Arial"/>
          <w:color w:val="333333"/>
          <w:sz w:val="21"/>
          <w:szCs w:val="21"/>
        </w:rPr>
        <w:t xml:space="preserve">O TikTok democratizou a viralização: qualquer conta pode atingir milhões com conteúdo relevante. Isso criou um novo driver de consumo na Gen Z — a "descoberta algorítmica", onde o produto é apresentado por conteúdo orgânico, não publicidade paga. O fenômeno "#TikTokMadeMeBuyIt" (bilhões de visualizações) exemplifica essa dinâmica.</w:t>
      </w:r>
    </w:p>
    <w:p/>
    <w:p>
      <w:pPr>
        <w:spacing w:after="60" w:before="200"/>
      </w:pPr>
      <w:r>
        <w:rPr>
          <w:rFonts w:ascii="Arial" w:cs="Arial" w:eastAsia="Arial" w:hAnsi="Arial"/>
          <w:b/>
          <w:bCs/>
          <w:color w:val="1A2238"/>
          <w:sz w:val="23"/>
          <w:szCs w:val="23"/>
        </w:rPr>
        <w:t xml:space="preserve">3.5 Consumo Ético, Sustentabilidade e Valores Geracionais</w:t>
      </w:r>
    </w:p>
    <w:p>
      <w:pPr>
        <w:spacing w:after="60" w:before="60"/>
        <w:jc w:val="both"/>
      </w:pPr>
      <w:r>
        <w:rPr>
          <w:rFonts w:ascii="Arial" w:cs="Arial" w:eastAsia="Arial" w:hAnsi="Arial"/>
          <w:color w:val="333333"/>
          <w:sz w:val="21"/>
          <w:szCs w:val="21"/>
        </w:rPr>
        <w:t xml:space="preserve">Cerca de 73% dos consumidores Gen Z globais afirmam estar dispostos a pagar mais por produtos de empresas comprometidas com sustentabilidade (Nielsen, 2023). O matcha, como produto de origem vegetal com propriedades funcionais comprovadas e associado à cultura japonesa de mindfulness, alinha-se naturalmente com esses valores. A comunicação, porém, precisa ser autêntica e verificável — a "geração detector de greenwashing" (Deloitte, 2023) rejeita promessas vagas e exige evidências concretas.</w:t>
      </w:r>
    </w:p>
    <w:p/>
    <w:p>
      <w:pPr>
        <w:spacing w:after="60" w:before="200"/>
      </w:pPr>
      <w:r>
        <w:rPr>
          <w:rFonts w:ascii="Arial" w:cs="Arial" w:eastAsia="Arial" w:hAnsi="Arial"/>
          <w:b/>
          <w:bCs/>
          <w:color w:val="1A2238"/>
          <w:sz w:val="23"/>
          <w:szCs w:val="23"/>
        </w:rPr>
        <w:t xml:space="preserve">3.6 Sociologia do Corpo, Saúde e Wellness</w:t>
      </w:r>
    </w:p>
    <w:p>
      <w:pPr>
        <w:spacing w:after="60" w:before="60"/>
        <w:jc w:val="both"/>
      </w:pPr>
      <w:r>
        <w:rPr>
          <w:rFonts w:ascii="Arial" w:cs="Arial" w:eastAsia="Arial" w:hAnsi="Arial"/>
          <w:color w:val="333333"/>
          <w:sz w:val="21"/>
          <w:szCs w:val="21"/>
        </w:rPr>
        <w:t xml:space="preserve">Giddens (1991) desenvolveu o conceito de "projeto reflexivo do self": na modernidade tardia, indivíduos constroem ativamente suas identidades por meio de escolhas cotidianas — incluindo o que comem, bebem e como cuidam da saúde. A Gen Z intensificou esse processo: o wellness não é apenas uma tendência de mercado, mas uma ideologia de vida (Lupton, 2016). O corpo saudável, a mente equilibrada e o estilo de vida consciente tornam-se marcadores de virtude, competência e status. O matcha insere-se como "instrumento de autoaperfeiçoamento".</w:t>
      </w:r>
    </w:p>
    <w:p/>
    <w:p>
      <w:pPr>
        <w:pBdr>
          <w:bottom w:val="single" w:color="C0335A" w:sz="3" w:space="1"/>
        </w:pBdr>
        <w:spacing w:after="80" w:before="280"/>
      </w:pPr>
      <w:r>
        <w:rPr>
          <w:rFonts w:ascii="Arial" w:cs="Arial" w:eastAsia="Arial" w:hAnsi="Arial"/>
          <w:b/>
          <w:bCs/>
          <w:color w:val="C0335A"/>
          <w:sz w:val="26"/>
          <w:szCs w:val="26"/>
        </w:rPr>
        <w:t xml:space="preserve">4. DRIVERS DE DECISÃO DE COMPRA DA GEN Z</w:t>
      </w:r>
    </w:p>
    <w:p>
      <w:pPr>
        <w:spacing w:after="60" w:before="60"/>
        <w:jc w:val="both"/>
      </w:pPr>
      <w:r>
        <w:rPr>
          <w:rFonts w:ascii="Arial" w:cs="Arial" w:eastAsia="Arial" w:hAnsi="Arial"/>
          <w:color w:val="333333"/>
          <w:sz w:val="21"/>
          <w:szCs w:val="21"/>
        </w:rPr>
        <w:t xml:space="preserve">Com base na síntese teórica, identificamos sete drivers primários que orientam as decisões de compra da Geração Z no mercado de bebidas funcionais e wellness, em ordem de relevância estratégica para a Push Matcha: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80"/>
        <w:gridCol w:w="2680"/>
      </w:tblGrid>
      <w:tr>
        <w:tc>
          <w:tcPr>
            <w:tcW w:type="dxa" w:w="2000"/>
            <w:tcBorders>
              <w:top w:val="single" w:color="CCCCCC" w:sz="1"/>
              <w:left w:val="single" w:color="CCCCCC" w:sz="1"/>
              <w:bottom w:val="single" w:color="CCCCCC" w:sz="1"/>
              <w:right w:val="single" w:color="CCCCCC" w:sz="1"/>
            </w:tcBorders>
            <w:shd w:fill="1A2238" w:val="clear"/>
            <w:tcMar>
              <w:top w:type="dxa" w:w="80"/>
              <w:left w:type="dxa" w:w="100"/>
              <w:bottom w:type="dxa" w:w="80"/>
              <w:right w:type="dxa" w:w="100"/>
            </w:tcMar>
          </w:tcPr>
          <w:p>
            <w:r>
              <w:rPr>
                <w:rFonts w:ascii="Arial" w:cs="Arial" w:eastAsia="Arial" w:hAnsi="Arial"/>
                <w:b/>
                <w:bCs/>
                <w:color w:val="FFFFFF"/>
                <w:sz w:val="19"/>
                <w:szCs w:val="19"/>
              </w:rPr>
              <w:t xml:space="preserve">DRIVER</w:t>
            </w:r>
          </w:p>
        </w:tc>
        <w:tc>
          <w:tcPr>
            <w:tcW w:type="dxa" w:w="3000"/>
            <w:tcBorders>
              <w:top w:val="single" w:color="CCCCCC" w:sz="1"/>
              <w:left w:val="single" w:color="CCCCCC" w:sz="1"/>
              <w:bottom w:val="single" w:color="CCCCCC" w:sz="1"/>
              <w:right w:val="single" w:color="CCCCCC" w:sz="1"/>
            </w:tcBorders>
            <w:shd w:fill="1A2238" w:val="clear"/>
            <w:tcMar>
              <w:top w:type="dxa" w:w="80"/>
              <w:left w:type="dxa" w:w="100"/>
              <w:bottom w:type="dxa" w:w="80"/>
              <w:right w:type="dxa" w:w="100"/>
            </w:tcMar>
          </w:tcPr>
          <w:p>
            <w:r>
              <w:rPr>
                <w:rFonts w:ascii="Arial" w:cs="Arial" w:eastAsia="Arial" w:hAnsi="Arial"/>
                <w:b/>
                <w:bCs/>
                <w:color w:val="FFFFFF"/>
                <w:sz w:val="19"/>
                <w:szCs w:val="19"/>
              </w:rPr>
              <w:t xml:space="preserve">DESCRIÇÃO</w:t>
            </w:r>
          </w:p>
        </w:tc>
        <w:tc>
          <w:tcPr>
            <w:tcW w:type="dxa" w:w="1680"/>
            <w:tcBorders>
              <w:top w:val="single" w:color="CCCCCC" w:sz="1"/>
              <w:left w:val="single" w:color="CCCCCC" w:sz="1"/>
              <w:bottom w:val="single" w:color="CCCCCC" w:sz="1"/>
              <w:right w:val="single" w:color="CCCCCC" w:sz="1"/>
            </w:tcBorders>
            <w:shd w:fill="1A2238" w:val="clear"/>
            <w:tcMar>
              <w:top w:type="dxa" w:w="80"/>
              <w:left w:type="dxa" w:w="100"/>
              <w:bottom w:type="dxa" w:w="80"/>
              <w:right w:type="dxa" w:w="100"/>
            </w:tcMar>
          </w:tcPr>
          <w:p>
            <w:r>
              <w:rPr>
                <w:rFonts w:ascii="Arial" w:cs="Arial" w:eastAsia="Arial" w:hAnsi="Arial"/>
                <w:b/>
                <w:bCs/>
                <w:color w:val="FFFFFF"/>
                <w:sz w:val="19"/>
                <w:szCs w:val="19"/>
              </w:rPr>
              <w:t xml:space="preserve">RELEVÂNCIA</w:t>
            </w:r>
          </w:p>
        </w:tc>
        <w:tc>
          <w:tcPr>
            <w:tcW w:type="dxa" w:w="2680"/>
            <w:tcBorders>
              <w:top w:val="single" w:color="CCCCCC" w:sz="1"/>
              <w:left w:val="single" w:color="CCCCCC" w:sz="1"/>
              <w:bottom w:val="single" w:color="CCCCCC" w:sz="1"/>
              <w:right w:val="single" w:color="CCCCCC" w:sz="1"/>
            </w:tcBorders>
            <w:shd w:fill="1A2238" w:val="clear"/>
            <w:tcMar>
              <w:top w:type="dxa" w:w="80"/>
              <w:left w:type="dxa" w:w="100"/>
              <w:bottom w:type="dxa" w:w="80"/>
              <w:right w:type="dxa" w:w="100"/>
            </w:tcMar>
          </w:tcPr>
          <w:p>
            <w:r>
              <w:rPr>
                <w:rFonts w:ascii="Arial" w:cs="Arial" w:eastAsia="Arial" w:hAnsi="Arial"/>
                <w:b/>
                <w:bCs/>
                <w:color w:val="FFFFFF"/>
                <w:sz w:val="19"/>
                <w:szCs w:val="19"/>
              </w:rPr>
              <w:t xml:space="preserve">IMPLICAÇÃO PUSH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bCs/>
                <w:color w:val="333333"/>
                <w:sz w:val="19"/>
                <w:szCs w:val="19"/>
              </w:rPr>
              <w:t xml:space="preserve">1. Autenticidade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79% da Gen Z verifica se marcas praticam o que pregam antes de comprar (Edelman, 2022). Marcas autênticas têm 4x mais lealdade.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CRÍTICA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Comunicação transparente sobre origem Uji/Mie/Shizuoka, processo de sourcing e impacto ambiental.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bCs/>
                <w:color w:val="333333"/>
                <w:sz w:val="19"/>
                <w:szCs w:val="19"/>
              </w:rPr>
              <w:t xml:space="preserve">2. Identidade e Autoexpressão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Compra como ato de curadoria identitária. Embalagem precisa ser "instagramável" e integrável ao feed pessoal.</w:t>
            </w:r>
          </w:p>
        </w:tc>
        <w:tc>
          <w:tcPr>
            <w:tcW w:type="dxa" w:w="1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CRÍTICA</w:t>
            </w:r>
          </w:p>
        </w:tc>
        <w:tc>
          <w:tcPr>
            <w:tcW w:type="dxa" w:w="2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Estética visual como ativo estratégico. Produto precisa se encaixar no "self digital estendido" do consumidor.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bCs/>
                <w:color w:val="333333"/>
                <w:sz w:val="19"/>
                <w:szCs w:val="19"/>
              </w:rPr>
              <w:t xml:space="preserve">3. Pertencimento e Tribalismo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Consumidor busca "brand tribes" com rituais, símbolos e valores compartilhados. Comunidade &gt; produto.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MUITO ALTA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Construir comunidade ativa em torno do matcha no Brasil, capitalizando a comunidade global já existente.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bCs/>
                <w:color w:val="333333"/>
                <w:sz w:val="19"/>
                <w:szCs w:val="19"/>
              </w:rPr>
              <w:t xml:space="preserve">4. Experiência e Ritualidade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65% prefere gastar em experiências a acumular bens. Rituais de preparo com "tutorial" têm 40% mais engajamento no TikTok.</w:t>
            </w:r>
          </w:p>
        </w:tc>
        <w:tc>
          <w:tcPr>
            <w:tcW w:type="dxa" w:w="1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MUITO ALTA</w:t>
            </w:r>
          </w:p>
        </w:tc>
        <w:tc>
          <w:tcPr>
            <w:tcW w:type="dxa" w:w="2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Transformar o ritual de preparo em experiência memorável e compartilhável. Chado como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bCs/>
                <w:color w:val="333333"/>
                <w:sz w:val="19"/>
                <w:szCs w:val="19"/>
              </w:rPr>
              <w:t xml:space="preserve">5. Valor Funcional Comprovado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Movimento "evidence-based wellness": Gen Z exige evidências científicas. L-teanina + cafeína têm comprovação robusta.</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ALTA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Comunicar benefícios (foco, calma, performance cognitiva) com rigor mas em linguagem emocional, não clínica.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bCs/>
                <w:color w:val="333333"/>
                <w:sz w:val="19"/>
                <w:szCs w:val="19"/>
              </w:rPr>
              <w:t xml:space="preserve">6. Custo-Benefício Pragmático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61% prioriza custo-benefício. Disposta a pagar premium se perceber valor genuíno. Educação de valor &gt; desconto.</w:t>
            </w:r>
          </w:p>
        </w:tc>
        <w:tc>
          <w:tcPr>
            <w:tcW w:type="dxa" w:w="1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ALTA</w:t>
            </w:r>
          </w:p>
        </w:tc>
        <w:tc>
          <w:tcPr>
            <w:tcW w:type="dxa" w:w="2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Estratégia de comunicação de custo por dose, qualidade de origem e comparativo com alternativas.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bCs/>
                <w:color w:val="333333"/>
                <w:sz w:val="19"/>
                <w:szCs w:val="19"/>
              </w:rPr>
              <w:t xml:space="preserve">7. Conveniência Digital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55% compra pelo smartphone. 78% descobre marcas em redes sociais. Checkout com mais de 3 etapas aumenta abandono em 30%.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ALTA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Otimizar jornada digital: links diretos em stories, checkout simplificado, atendimento via DM.</w:t>
            </w:r>
          </w:p>
        </w:tc>
      </w:tr>
    </w:tbl>
    <w:p/>
    <w:p>
      <w:pPr>
        <w:pBdr>
          <w:bottom w:val="single" w:color="C0335A" w:sz="3" w:space="1"/>
        </w:pBdr>
        <w:spacing w:after="80" w:before="280"/>
      </w:pPr>
      <w:r>
        <w:rPr>
          <w:rFonts w:ascii="Arial" w:cs="Arial" w:eastAsia="Arial" w:hAnsi="Arial"/>
          <w:b/>
          <w:bCs/>
          <w:color w:val="C0335A"/>
          <w:sz w:val="26"/>
          <w:szCs w:val="26"/>
        </w:rPr>
        <w:t xml:space="preserve">5. O MERCADO DE BEBIDAS FUNCIONAIS E A GEN Z</w:t>
      </w:r>
    </w:p>
    <w:p>
      <w:pPr>
        <w:spacing w:after="60" w:before="60"/>
        <w:jc w:val="both"/>
      </w:pPr>
      <w:r>
        <w:rPr>
          <w:rFonts w:ascii="Arial" w:cs="Arial" w:eastAsia="Arial" w:hAnsi="Arial"/>
          <w:color w:val="333333"/>
          <w:sz w:val="21"/>
          <w:szCs w:val="21"/>
        </w:rPr>
        <w:t xml:space="preserve">O mercado global de bebidas funcionais foi avaliado em USD 177,5 bilhões em 2022, com CAGR projetado de 8,9% até 2030 (Grand View Research, 2023). O segmento de matcha especificamente: estimado em USD 4,4 bilhões em 2023, com expectativa de atingir USD 9,1 bilhões até 2031 (Allied Market Research, 2023).</w:t>
      </w:r>
    </w:p>
    <w:p/>
    <w:p>
      <w:pPr>
        <w:spacing w:after="60" w:before="60"/>
        <w:jc w:val="both"/>
      </w:pPr>
      <w:r>
        <w:rPr>
          <w:rFonts w:ascii="Arial" w:cs="Arial" w:eastAsia="Arial" w:hAnsi="Arial"/>
          <w:color w:val="333333"/>
          <w:sz w:val="21"/>
          <w:szCs w:val="21"/>
        </w:rPr>
        <w:t xml:space="preserve">No Brasil, o crescimento é impulsionado por três macrotendências convergentes: (1) aumento da consciência sobre saúde mental e física pós-pandemia; (2) expansão da cultura de specialty coffee e bebidas artesanais; e (3) influência da cultura pop asiática (K-pop, anime, gastronomia japonesa) sobre consumidores jovens.</w:t>
      </w:r>
    </w:p>
    <w:p/>
    <w:p>
      <w:pPr>
        <w:spacing w:after="60" w:before="60"/>
        <w:jc w:val="both"/>
      </w:pPr>
      <w:r>
        <w:rPr>
          <w:rFonts w:ascii="Arial" w:cs="Arial" w:eastAsia="Arial" w:hAnsi="Arial"/>
          <w:color w:val="333333"/>
          <w:sz w:val="21"/>
          <w:szCs w:val="21"/>
        </w:rPr>
        <w:t xml:space="preserve">A Gen Z é a principal força impulsionadora da popularização do matcha no Ocidente. A hashtag #matcha acumulou mais de 8 bilhões de visualizações no TikTok (2020–2024). A atração combina múltiplos drivers simultaneamente: estética visual verde vibrante (photogenic), benefícios funcionais comprovados, narrativa cultural japonesa, versatilidade de uso e posicionamento premium.</w:t>
      </w:r>
    </w:p>
    <w:p>
      <w:r>
        <w:br w:type="page"/>
      </w:r>
    </w:p>
    <w:p>
      <w:pPr>
        <w:pBdr>
          <w:bottom w:val="single" w:color="C0335A" w:sz="6" w:space="2"/>
        </w:pBdr>
        <w:shd w:fill="1A2238" w:val="clear"/>
        <w:spacing w:after="120" w:before="360"/>
        <w:ind w:left="200" w:right="200"/>
      </w:pPr>
      <w:r>
        <w:rPr>
          <w:rFonts w:ascii="Arial" w:cs="Arial" w:eastAsia="Arial" w:hAnsi="Arial"/>
          <w:b/>
          <w:bCs/>
          <w:color w:val="FFFFFF"/>
          <w:sz w:val="34"/>
          <w:szCs w:val="34"/>
        </w:rPr>
        <w:t xml:space="preserve">PARTE II — DIAGNÓSTICO DE ATRITOS E BARREIRAS DE CONVERSÃO</w:t>
      </w:r>
    </w:p>
    <w:p/>
    <w:p>
      <w:pPr>
        <w:spacing w:after="60" w:before="60"/>
        <w:jc w:val="both"/>
      </w:pPr>
      <w:r>
        <w:rPr>
          <w:rFonts w:ascii="Arial" w:cs="Arial" w:eastAsia="Arial" w:hAnsi="Arial"/>
          <w:color w:val="333333"/>
          <w:sz w:val="21"/>
          <w:szCs w:val="21"/>
        </w:rPr>
        <w:t xml:space="preserve">Subtópico 2.2 · Autor: Grupo Push Matcha · FGV 2026.1</w:t>
      </w:r>
    </w:p>
    <w:p/>
    <w:p>
      <w:pPr>
        <w:spacing w:after="60" w:before="60"/>
        <w:jc w:val="both"/>
      </w:pPr>
      <w:r>
        <w:rPr>
          <w:rFonts w:ascii="Arial" w:cs="Arial" w:eastAsia="Arial" w:hAnsi="Arial"/>
          <w:color w:val="333333"/>
          <w:sz w:val="21"/>
          <w:szCs w:val="21"/>
        </w:rPr>
        <w:t xml:space="preserve">A análise de atritos e barreiras de conversão é um instrumento central da inteligência de consumo. Ao contrário de pesquisas de satisfação tradicionais — que capturam apenas a voz do consumidor já convertido —, este diagnóstico foca nos não-consumidores e nos consumidores que abandonaram a jornada, eliminando o "viés de sobrevivência" dos dados de feedback.</w:t>
      </w:r>
    </w:p>
    <w:p/>
    <w:p>
      <w:pPr>
        <w:spacing w:after="60" w:before="60"/>
        <w:jc w:val="both"/>
      </w:pPr>
      <w:r>
        <w:rPr>
          <w:rFonts w:ascii="Arial" w:cs="Arial" w:eastAsia="Arial" w:hAnsi="Arial"/>
          <w:color w:val="333333"/>
          <w:sz w:val="21"/>
          <w:szCs w:val="21"/>
        </w:rPr>
        <w:t xml:space="preserve">Atrito de conversão é definido como qualquer fator — racional, emocional, situacional ou simbólico — que interrompe ou desacelera a jornada de um consumidor potencial entre a consciência da existência do produto e a formação de um hábito de consumo recorrente. Os atritos podem ser:</w:t>
      </w:r>
    </w:p>
    <w:p>
      <w:pPr>
        <w:pStyle w:val="ListParagraph"/>
        <w:numPr>
          <w:ilvl w:val="0"/>
          <w:numId w:val="2"/>
        </w:numPr>
        <w:spacing w:after="40" w:before="40"/>
      </w:pPr>
      <w:r>
        <w:rPr>
          <w:rFonts w:ascii="Arial" w:cs="Arial" w:eastAsia="Arial" w:hAnsi="Arial"/>
          <w:color w:val="333333"/>
          <w:sz w:val="21"/>
          <w:szCs w:val="21"/>
        </w:rPr>
        <w:t xml:space="preserve">Absolutos: impedem completamente a conversão (ex.: preço fora do alcance do estudante)</w:t>
      </w:r>
    </w:p>
    <w:p>
      <w:pPr>
        <w:pStyle w:val="ListParagraph"/>
        <w:numPr>
          <w:ilvl w:val="0"/>
          <w:numId w:val="2"/>
        </w:numPr>
        <w:spacing w:after="40" w:before="40"/>
      </w:pPr>
      <w:r>
        <w:rPr>
          <w:rFonts w:ascii="Arial" w:cs="Arial" w:eastAsia="Arial" w:hAnsi="Arial"/>
          <w:color w:val="333333"/>
          <w:sz w:val="21"/>
          <w:szCs w:val="21"/>
        </w:rPr>
        <w:t xml:space="preserve">Friccionais: retardam sem impedir definitivamente (ex.: complexidade percebida no preparo)</w:t>
      </w:r>
    </w:p>
    <w:p>
      <w:pPr>
        <w:pStyle w:val="ListParagraph"/>
        <w:numPr>
          <w:ilvl w:val="0"/>
          <w:numId w:val="2"/>
        </w:numPr>
        <w:spacing w:after="40" w:before="40"/>
      </w:pPr>
      <w:r>
        <w:rPr>
          <w:rFonts w:ascii="Arial" w:cs="Arial" w:eastAsia="Arial" w:hAnsi="Arial"/>
          <w:color w:val="333333"/>
          <w:sz w:val="21"/>
          <w:szCs w:val="21"/>
        </w:rPr>
        <w:t xml:space="preserve">Latentes: existem mas não são verbalizados em pesquisas tradicionais (ex.: falta de identificação cultural)</w:t>
      </w:r>
    </w:p>
    <w:p/>
    <w:p>
      <w:pPr>
        <w:pBdr>
          <w:bottom w:val="single" w:color="C0335A" w:sz="3" w:space="1"/>
        </w:pBdr>
        <w:spacing w:after="80" w:before="280"/>
      </w:pPr>
      <w:r>
        <w:rPr>
          <w:rFonts w:ascii="Arial" w:cs="Arial" w:eastAsia="Arial" w:hAnsi="Arial"/>
          <w:b/>
          <w:bCs/>
          <w:color w:val="C0335A"/>
          <w:sz w:val="26"/>
          <w:szCs w:val="26"/>
        </w:rPr>
        <w:t xml:space="preserve">1. BARREIRA 1 — CULTURAL E IDENTITÁRIA: O PESO DO RITUAL DO CAFÉ</w:t>
      </w:r>
    </w:p>
    <w:p/>
    <w:p>
      <w:pPr>
        <w:spacing w:after="60" w:before="60"/>
        <w:jc w:val="both"/>
      </w:pPr>
      <w:r>
        <w:rPr>
          <w:rFonts w:ascii="Arial" w:cs="Arial" w:eastAsia="Arial" w:hAnsi="Arial"/>
          <w:color w:val="333333"/>
          <w:sz w:val="21"/>
          <w:szCs w:val="21"/>
        </w:rPr>
        <w:t xml:space="preserve">O Brasil é o segundo maior consumidor de café do mundo e o maior exportador global, com exportações de US$ 14,7 bilhões na safra 2024/2025 (Cecafé, 2025). Pesquisa longitudinal (IAC-Apta + Unicamp + Instituto Axxus, 2019–2023) demonstrou que o brasileiro tem relação predominantemente afetiva com o café: 61% o tomam para melhorar humor e disposição, e 35% associam o consumo a rituais de interação social.</w:t>
      </w:r>
    </w:p>
    <w:p/>
    <w:p>
      <w:pPr>
        <w:spacing w:after="60" w:before="60"/>
        <w:jc w:val="both"/>
      </w:pPr>
      <w:r>
        <w:rPr>
          <w:rFonts w:ascii="Arial" w:cs="Arial" w:eastAsia="Arial" w:hAnsi="Arial"/>
          <w:color w:val="333333"/>
          <w:sz w:val="21"/>
          <w:szCs w:val="21"/>
        </w:rPr>
        <w:t xml:space="preserve">Para o jovem brasileiro, o café não é apenas bebida funcional — é marcador de identidade, linguagem de pertencimento e ritual que estrutura a rotina. A Geração Z ressignificou e tornou "cool" a cultura dos cafés especiais (cold brew, flat white) no mesmo período em que o matcha ganhou apelo estético.</w:t>
      </w:r>
    </w:p>
    <w:p/>
    <w:p>
      <w:pPr>
        <w:spacing w:after="60" w:before="60"/>
        <w:jc w:val="both"/>
      </w:pPr>
      <w:r>
        <w:rPr>
          <w:rFonts w:ascii="Arial" w:cs="Arial" w:eastAsia="Arial" w:hAnsi="Arial"/>
          <w:color w:val="333333"/>
          <w:sz w:val="21"/>
          <w:szCs w:val="21"/>
        </w:rPr>
        <w:t xml:space="preserve">Mecanismo psicológico: trocar o café pelo matcha não é apenas decisão funcional. Implica negar um sistema de significados ao qual o jovem já pertence. Este fenômeno é denominado "resistência à mudança de hábito" (habit resistance), amplificado quando o produto substituto exige reaprendizagem cultural — o que ocorre com o matcha, produto com origem em cerimônia japonesa que poucos jovens brasileiros conhecem (Campbell, 2006; Baudrillard, 1995).</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35A" w:sz="4"/>
              <w:left w:val="single" w:color="C0335A" w:sz="12"/>
              <w:bottom w:val="single" w:color="C0335A" w:sz="4"/>
              <w:right w:val="single" w:color="CCCCCC" w:sz="1"/>
            </w:tcBorders>
            <w:shd w:fill="FFF0F4" w:val="clear"/>
            <w:tcMar>
              <w:top w:type="dxa" w:w="100"/>
              <w:left w:type="dxa" w:w="200"/>
              <w:bottom w:type="dxa" w:w="100"/>
              <w:right w:type="dxa" w:w="160"/>
            </w:tcMar>
          </w:tcPr>
          <w:p>
            <w:pPr>
              <w:jc w:val="both"/>
            </w:pPr>
            <w:r>
              <w:rPr>
                <w:rFonts w:ascii="Arial" w:cs="Arial" w:eastAsia="Arial" w:hAnsi="Arial"/>
                <w:i/>
                <w:iCs/>
                <w:color w:val="1A2238"/>
                <w:sz w:val="20"/>
                <w:szCs w:val="20"/>
              </w:rPr>
              <w:t xml:space="preserve">IMPACTO NO FUNIL — ETAPA DE CONSIDERAÇÃO: O ritual do café atua principalmente na etapa de Consideração. O jovem conhece o matcha, até o acha esteticamente interessante, mas não consegue imaginar como ele se encaixaria na sua rotina sem substituir algo que aprecia. A barreira não é de consciência — é de relevância percebida e identidade.</w:t>
            </w:r>
          </w:p>
        </w:tc>
      </w:tr>
    </w:tbl>
    <w:p/>
    <w:p>
      <w:pPr>
        <w:pBdr>
          <w:bottom w:val="single" w:color="C0335A" w:sz="3" w:space="1"/>
        </w:pBdr>
        <w:spacing w:after="80" w:before="280"/>
      </w:pPr>
      <w:r>
        <w:rPr>
          <w:rFonts w:ascii="Arial" w:cs="Arial" w:eastAsia="Arial" w:hAnsi="Arial"/>
          <w:b/>
          <w:bCs/>
          <w:color w:val="C0335A"/>
          <w:sz w:val="26"/>
          <w:szCs w:val="26"/>
        </w:rPr>
        <w:t xml:space="preserve">2. BARREIRA 2 — SENSORIAL: SABOR, COR E ESTRANHEZA DO PALADAR</w:t>
      </w:r>
    </w:p>
    <w:p/>
    <w:p>
      <w:pPr>
        <w:spacing w:after="60" w:before="60"/>
        <w:jc w:val="both"/>
      </w:pPr>
      <w:r>
        <w:rPr>
          <w:rFonts w:ascii="Arial" w:cs="Arial" w:eastAsia="Arial" w:hAnsi="Arial"/>
          <w:color w:val="333333"/>
          <w:sz w:val="21"/>
          <w:szCs w:val="21"/>
        </w:rPr>
        <w:t xml:space="preserve">Sabor é consistentemente o principal motivador de escolha alimentar para a Gen Z. Survey com 1.000 consumidores Gen Z nos EUA (Nutrients/MDPI, 2025) revelou que sabor, preço e conveniência emergem como os três fatores mais importantes — nessa ordem. Dados da Innova Market Insights (2026) confirmam que sabores doces dominam a intenção de consumo na Gen Z com 68,4%.</w:t>
      </w:r>
    </w:p>
    <w:p/>
    <w:p>
      <w:pPr>
        <w:spacing w:after="60" w:before="60"/>
        <w:jc w:val="both"/>
      </w:pPr>
      <w:r>
        <w:rPr>
          <w:rFonts w:ascii="Arial" w:cs="Arial" w:eastAsia="Arial" w:hAnsi="Arial"/>
          <w:color w:val="333333"/>
          <w:sz w:val="21"/>
          <w:szCs w:val="21"/>
        </w:rPr>
        <w:t xml:space="preserve">O matcha tem sabor amargo e herbáceo — umami — radicalmente diferente do perfil sensorial das bebidas habituais do jovem brasileiro (refrigerantes, cafés especiais com notas frutadas, sucos tropicais). A Verified Market Research (2025) classifica o sabor como principal barreira de experimentação para consumidores não habituados ao matcha, ao lado da complexidade de preparo.</w:t>
      </w:r>
    </w:p>
    <w:p/>
    <w:p>
      <w:pPr>
        <w:spacing w:after="60" w:before="60"/>
        <w:jc w:val="both"/>
      </w:pPr>
      <w:r>
        <w:rPr>
          <w:rFonts w:ascii="Arial" w:cs="Arial" w:eastAsia="Arial" w:hAnsi="Arial"/>
          <w:color w:val="333333"/>
          <w:sz w:val="21"/>
          <w:szCs w:val="21"/>
        </w:rPr>
        <w:t xml:space="preserve">A coloração verde vibrante funciona de forma ambígua: é ativo estético para redes sociais (fotografável), mas pode gerar resistência sensorial antecipada ("parece saúde demais", "parece remédio") em jovens com menor familiaridade. A Tastewise (2026) indica que a Gen Z é experimentadora, mas prefere inovações que "não exijam reaprender a se comportar".</w:t>
      </w:r>
    </w:p>
    <w:p/>
    <w:p>
      <w:pPr>
        <w:spacing w:after="60" w:before="60"/>
        <w:jc w:val="both"/>
      </w:pPr>
      <w:r>
        <w:rPr>
          <w:rFonts w:ascii="Arial" w:cs="Arial" w:eastAsia="Arial" w:hAnsi="Arial"/>
          <w:color w:val="333333"/>
          <w:sz w:val="21"/>
          <w:szCs w:val="21"/>
        </w:rPr>
        <w:t xml:space="preserve">O Matcha Latte Push (sabores baunilha, morango e chocolate) é resposta estratégica direta à barreira sensorial: ao mascarar o sabor amargo com notas doces familiares, reduz o atrito de experimentação. A taxa de recompra de 37% em três meses confirma eficácia para quem já experimentou. O desafio remanescente é a conversão da primeira experimentação.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35A" w:sz="4"/>
              <w:left w:val="single" w:color="C0335A" w:sz="12"/>
              <w:bottom w:val="single" w:color="C0335A" w:sz="4"/>
              <w:right w:val="single" w:color="CCCCCC" w:sz="1"/>
            </w:tcBorders>
            <w:shd w:fill="FFF0F4" w:val="clear"/>
            <w:tcMar>
              <w:top w:type="dxa" w:w="100"/>
              <w:left w:type="dxa" w:w="200"/>
              <w:bottom w:type="dxa" w:w="100"/>
              <w:right w:type="dxa" w:w="160"/>
            </w:tcMar>
          </w:tcPr>
          <w:p>
            <w:pPr>
              <w:jc w:val="both"/>
            </w:pPr>
            <w:r>
              <w:rPr>
                <w:rFonts w:ascii="Arial" w:cs="Arial" w:eastAsia="Arial" w:hAnsi="Arial"/>
                <w:i/>
                <w:iCs/>
                <w:color w:val="1A2238"/>
                <w:sz w:val="20"/>
                <w:szCs w:val="20"/>
              </w:rPr>
              <w:t xml:space="preserve">IMPACTO NO FUNIL — ETAPA DE EXPERIMENTAÇÃO: A barreira sensorial é crítica na transição de Consideração para Experimentação. O consumidor pode ser travado pela memória ou antecipação do sabor amargo. A comunicação precisa ativar curiosidade sensorial e reduzir a expectativa negativa antes da compra.</w:t>
            </w:r>
          </w:p>
        </w:tc>
      </w:tr>
    </w:tbl>
    <w:p/>
    <w:p>
      <w:pPr>
        <w:pBdr>
          <w:bottom w:val="single" w:color="C0335A" w:sz="3" w:space="1"/>
        </w:pBdr>
        <w:spacing w:after="80" w:before="280"/>
      </w:pPr>
      <w:r>
        <w:rPr>
          <w:rFonts w:ascii="Arial" w:cs="Arial" w:eastAsia="Arial" w:hAnsi="Arial"/>
          <w:b/>
          <w:bCs/>
          <w:color w:val="C0335A"/>
          <w:sz w:val="26"/>
          <w:szCs w:val="26"/>
        </w:rPr>
        <w:t xml:space="preserve">3. BARREIRA 3 — PRATICIDADE E CONVENIÊNCIA: COMPLEXIDADE DO PREPARO</w:t>
      </w:r>
    </w:p>
    <w:p/>
    <w:p>
      <w:pPr>
        <w:spacing w:after="60" w:before="60"/>
        <w:jc w:val="both"/>
      </w:pPr>
      <w:r>
        <w:rPr>
          <w:rFonts w:ascii="Arial" w:cs="Arial" w:eastAsia="Arial" w:hAnsi="Arial"/>
          <w:color w:val="333333"/>
          <w:sz w:val="21"/>
          <w:szCs w:val="21"/>
        </w:rPr>
        <w:t xml:space="preserve">A Verified Market Research (2025) define a complexidade de preparo como um dos dois principais inibidores de adoção do matcha em mercados não-asiáticos: "O processo que envolve peneirar o pó e bater com um chasen (batedor de bambu) para criar uma bebida lisa e espumante exige ferramentas e técnicas específicas. Essa complexidade percebida pode deter consumidores que preferem preparo rápido e sem esforço."</w:t>
      </w:r>
    </w:p>
    <w:p/>
    <w:p>
      <w:pPr>
        <w:spacing w:after="60" w:before="60"/>
        <w:jc w:val="both"/>
      </w:pPr>
      <w:r>
        <w:rPr>
          <w:rFonts w:ascii="Arial" w:cs="Arial" w:eastAsia="Arial" w:hAnsi="Arial"/>
          <w:color w:val="333333"/>
          <w:sz w:val="21"/>
          <w:szCs w:val="21"/>
        </w:rPr>
        <w:t xml:space="preserve">A Mordor Intelligence (2026) confirma: produtos líquidos de matcha (ready-to-drink) crescem mais rapidamente exatamente por eliminar a barreira do preparo. O jovem brasileiro, conforme dados da Rua do Café (2026), valoriza cafés gelados, cold brew e bebidas prontas para consumo — formatos que eliminam o atrito de preparo.</w:t>
      </w:r>
    </w:p>
    <w:p/>
    <w:p>
      <w:pPr>
        <w:spacing w:after="60" w:before="60"/>
        <w:jc w:val="both"/>
      </w:pPr>
      <w:r>
        <w:rPr>
          <w:rFonts w:ascii="Arial" w:cs="Arial" w:eastAsia="Arial" w:hAnsi="Arial"/>
          <w:color w:val="333333"/>
          <w:sz w:val="21"/>
          <w:szCs w:val="21"/>
        </w:rPr>
        <w:t xml:space="preserve">Para a Push Matcha, isso representa um paradoxo: o matcha em pó premium é o produto de maior margem e maior diferenciação da marca, mas exige o maior esforço do consumidor. O Matcha Latte resolve parte do problema. O POW (energético em lata) é o produto que mais se alinha à conveniência, mas está em fase de expansão de produção.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35A" w:sz="4"/>
              <w:left w:val="single" w:color="C0335A" w:sz="12"/>
              <w:bottom w:val="single" w:color="C0335A" w:sz="4"/>
              <w:right w:val="single" w:color="CCCCCC" w:sz="1"/>
            </w:tcBorders>
            <w:shd w:fill="FFF0F4" w:val="clear"/>
            <w:tcMar>
              <w:top w:type="dxa" w:w="100"/>
              <w:left w:type="dxa" w:w="200"/>
              <w:bottom w:type="dxa" w:w="100"/>
              <w:right w:type="dxa" w:w="160"/>
            </w:tcMar>
          </w:tcPr>
          <w:p>
            <w:pPr>
              <w:jc w:val="both"/>
            </w:pPr>
            <w:r>
              <w:rPr>
                <w:rFonts w:ascii="Arial" w:cs="Arial" w:eastAsia="Arial" w:hAnsi="Arial"/>
                <w:i/>
                <w:iCs/>
                <w:color w:val="1A2238"/>
                <w:sz w:val="20"/>
                <w:szCs w:val="20"/>
              </w:rPr>
              <w:t xml:space="preserve">IMPACTO NO FUNIL — EXPERIMENTAÇÃO E HÁBITO: A barreira de conveniência opera em dois momentos: impede a primeira experimentação em casa ("como eu vou preparar isso?") e bloqueia a formação de hábito recorrente ("é trabalhoso demais para todo dia"). A comunicação e os produtos devem atacar ambos os pontos com linguagem que normalize e simplifique o preparo.</w:t>
            </w:r>
          </w:p>
        </w:tc>
      </w:tr>
    </w:tbl>
    <w:p/>
    <w:p>
      <w:pPr>
        <w:pBdr>
          <w:bottom w:val="single" w:color="C0335A" w:sz="3" w:space="1"/>
        </w:pBdr>
        <w:spacing w:after="80" w:before="280"/>
      </w:pPr>
      <w:r>
        <w:rPr>
          <w:rFonts w:ascii="Arial" w:cs="Arial" w:eastAsia="Arial" w:hAnsi="Arial"/>
          <w:b/>
          <w:bCs/>
          <w:color w:val="C0335A"/>
          <w:sz w:val="26"/>
          <w:szCs w:val="26"/>
        </w:rPr>
        <w:t xml:space="preserve">4. BARREIRA 4 — PREÇO E PERCEPÇÃO DE VALOR</w:t>
      </w:r>
    </w:p>
    <w:p/>
    <w:p>
      <w:pPr>
        <w:spacing w:after="60" w:before="60"/>
        <w:jc w:val="both"/>
      </w:pPr>
      <w:r>
        <w:rPr>
          <w:rFonts w:ascii="Arial" w:cs="Arial" w:eastAsia="Arial" w:hAnsi="Arial"/>
          <w:color w:val="333333"/>
          <w:sz w:val="21"/>
          <w:szCs w:val="21"/>
        </w:rPr>
        <w:t xml:space="preserve">A pesquisa acadêmica aponta consistentemente o preço como principal barreira à adoção de produtos de saúde e bem-estar (FoodMinds, 2022; Nutrients/MDPI, 2025; Innova Market Insights, 2026). O matcha cerimonial e orgânico, importado de regiões como Uji (Japão), exige cultivo intensivo e processamento meticuloso, resultando em preços significativamente mais altos que chás convencionais (FactMR, 2025). No contexto brasileiro, câmbio, tarifas de importação e logística amplificam esse encarecimento.</w:t>
      </w:r>
    </w:p>
    <w:p/>
    <w:p>
      <w:pPr>
        <w:spacing w:after="60" w:before="60"/>
        <w:jc w:val="both"/>
      </w:pPr>
      <w:r>
        <w:rPr>
          <w:rFonts w:ascii="Arial" w:cs="Arial" w:eastAsia="Arial" w:hAnsi="Arial"/>
          <w:color w:val="333333"/>
          <w:sz w:val="21"/>
          <w:szCs w:val="21"/>
        </w:rPr>
        <w:t xml:space="preserve">O Paradoxo do Jovem "Wellness": a Ingredion (2025) aponta que 45% dos consumidores globais priorizam nutrição e bem-estar em relação ao preço; consumidores Gen Z estão dispostos a pagar 20–30% a mais por produtos com selos como "orgânico" ou "sem ingredientes artificiais". Isso sugere que a barreira de preço para o matcha não é absoluta — depende da percepção de valor entregue. O problema da Push é menos de preço e mais de percepção de custo-benefício. O jovem precisa primeiro compreender e acreditar na superioridade do produto.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35A" w:sz="4"/>
              <w:left w:val="single" w:color="C0335A" w:sz="12"/>
              <w:bottom w:val="single" w:color="C0335A" w:sz="4"/>
              <w:right w:val="single" w:color="CCCCCC" w:sz="1"/>
            </w:tcBorders>
            <w:shd w:fill="FFF0F4" w:val="clear"/>
            <w:tcMar>
              <w:top w:type="dxa" w:w="100"/>
              <w:left w:type="dxa" w:w="200"/>
              <w:bottom w:type="dxa" w:w="100"/>
              <w:right w:type="dxa" w:w="160"/>
            </w:tcMar>
          </w:tcPr>
          <w:p>
            <w:pPr>
              <w:jc w:val="both"/>
            </w:pPr>
            <w:r>
              <w:rPr>
                <w:rFonts w:ascii="Arial" w:cs="Arial" w:eastAsia="Arial" w:hAnsi="Arial"/>
                <w:i/>
                <w:iCs/>
                <w:color w:val="1A2238"/>
                <w:sz w:val="20"/>
                <w:szCs w:val="20"/>
              </w:rPr>
              <w:t xml:space="preserve">IMPACTO NO FUNIL — CONSIDERAÇÃO E EXPERIMENTAÇÃO: O preço atua como filtro duplo: na Consideração ("esse produto é caro demais para testar") e na Experimentação ("não vou gastar X reais em algo que talvez eu não goste"). A solução não passa por baixar o preço, mas por elevar o valor percebido antes da primeira compra — via educação, prova social e garantias de satisfação.</w:t>
            </w:r>
          </w:p>
        </w:tc>
      </w:tr>
    </w:tbl>
    <w:p/>
    <w:p>
      <w:pPr>
        <w:pBdr>
          <w:bottom w:val="single" w:color="C0335A" w:sz="3" w:space="1"/>
        </w:pBdr>
        <w:spacing w:after="80" w:before="280"/>
      </w:pPr>
      <w:r>
        <w:rPr>
          <w:rFonts w:ascii="Arial" w:cs="Arial" w:eastAsia="Arial" w:hAnsi="Arial"/>
          <w:b/>
          <w:bCs/>
          <w:color w:val="C0335A"/>
          <w:sz w:val="26"/>
          <w:szCs w:val="26"/>
        </w:rPr>
        <w:t xml:space="preserve">5. BARREIRA 5 — COMUNICAÇÃO E FALTA DE IDENTIFICAÇÃO</w:t>
      </w:r>
    </w:p>
    <w:p/>
    <w:p>
      <w:pPr>
        <w:spacing w:after="60" w:before="60"/>
        <w:jc w:val="both"/>
      </w:pPr>
      <w:r>
        <w:rPr>
          <w:rFonts w:ascii="Arial" w:cs="Arial" w:eastAsia="Arial" w:hAnsi="Arial"/>
          <w:color w:val="333333"/>
          <w:sz w:val="21"/>
          <w:szCs w:val="21"/>
        </w:rPr>
        <w:t xml:space="preserve">A Gen Z descobre produtos primariamente por redes sociais: 87% dos jovens brasileiros descobrem produtos pelo Instagram, 41% via vídeos curtos nas redes (Exploding Topics, apud Publya, 2025). TikTok e YouTube formam com o Instagram um trio de plataformas praticamente empatadas em uso para pesquisa de compras (Conversion/mLabs, 2025). Essa geração não separa pesquisa de entretenimento — o conteúdo é a descoberta.</w:t>
      </w:r>
    </w:p>
    <w:p/>
    <w:p>
      <w:pPr>
        <w:spacing w:after="60" w:before="60"/>
        <w:jc w:val="both"/>
      </w:pPr>
      <w:r>
        <w:rPr>
          <w:rFonts w:ascii="Arial" w:cs="Arial" w:eastAsia="Arial" w:hAnsi="Arial"/>
          <w:color w:val="333333"/>
          <w:sz w:val="21"/>
          <w:szCs w:val="21"/>
        </w:rPr>
        <w:t xml:space="preserve">O problema da Push não é ausência de presença digital — a empresa foi pioneira no uso de micro e nano influenciadores no TikTok. O problema é uma desconexão de linguagem: o conteúdo tende ao registro funcional e técnico ("66mg de cafeína, 250mg de catequinas, 35mg de L-teanina"), que ressoa bem com o público de 35–50 anos orientado por saúde, mas não gera identificação imediata no jovem que busca integração entre estilo de vida, estética e pertencimento.</w:t>
      </w:r>
    </w:p>
    <w:p/>
    <w:p>
      <w:pPr>
        <w:spacing w:after="60" w:before="60"/>
        <w:jc w:val="both"/>
      </w:pPr>
      <w:r>
        <w:rPr>
          <w:rFonts w:ascii="Arial" w:cs="Arial" w:eastAsia="Arial" w:hAnsi="Arial"/>
          <w:color w:val="333333"/>
          <w:sz w:val="21"/>
          <w:szCs w:val="21"/>
        </w:rPr>
        <w:t xml:space="preserve">A Tastewise (2026) documenta: para a Gen Z, "as marcas não ganham pontos por seus valores — perdem pontos quando os valores contradizem a experiência". O alinhamento com identidade precisa ser silencioso, não anunciado. Campanhas que enfatizam demais os atributos funcionais podem soar invasivas e comerciais.</w:t>
      </w:r>
    </w:p>
    <w:p/>
    <w:p>
      <w:pPr>
        <w:spacing w:after="60" w:before="60"/>
        <w:jc w:val="both"/>
      </w:pPr>
      <w:r>
        <w:rPr>
          <w:rFonts w:ascii="Arial" w:cs="Arial" w:eastAsia="Arial" w:hAnsi="Arial"/>
          <w:color w:val="333333"/>
          <w:sz w:val="21"/>
          <w:szCs w:val="21"/>
        </w:rPr>
        <w:t xml:space="preserve">O Viés de Sobrevivência dos Dados Atuais: os consumidores que respondem pesquisas de satisfação são os que já compraram — predominantemente adultos de 35+ que chegaram ao produto por motivação de saúde. A Gen Z, que não comprou, não responde a e-mails e SAC. Isso cria um echo chamber de dados que isola a marca do público que mais precisa conquistar.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35A" w:sz="4"/>
              <w:left w:val="single" w:color="C0335A" w:sz="12"/>
              <w:bottom w:val="single" w:color="C0335A" w:sz="4"/>
              <w:right w:val="single" w:color="CCCCCC" w:sz="1"/>
            </w:tcBorders>
            <w:shd w:fill="FFF0F4" w:val="clear"/>
            <w:tcMar>
              <w:top w:type="dxa" w:w="100"/>
              <w:left w:type="dxa" w:w="200"/>
              <w:bottom w:type="dxa" w:w="100"/>
              <w:right w:type="dxa" w:w="160"/>
            </w:tcMar>
          </w:tcPr>
          <w:p>
            <w:pPr>
              <w:jc w:val="both"/>
            </w:pPr>
            <w:r>
              <w:rPr>
                <w:rFonts w:ascii="Arial" w:cs="Arial" w:eastAsia="Arial" w:hAnsi="Arial"/>
                <w:i/>
                <w:iCs/>
                <w:color w:val="1A2238"/>
                <w:sz w:val="20"/>
                <w:szCs w:val="20"/>
              </w:rPr>
              <w:t xml:space="preserve">IMPACTO NO FUNIL — CONSCIÊNCIA E CONSIDERAÇÃO: A barreira de comunicação opera nas etapas iniciais. Se a linguagem não gera identificação imediata, o jovem não para de rolar o feed. A sequência correta é: identidade → desejo → funcionalidade → compra.</w:t>
            </w:r>
          </w:p>
        </w:tc>
      </w:tr>
    </w:tbl>
    <w:p/>
    <w:p>
      <w:pPr>
        <w:pBdr>
          <w:bottom w:val="single" w:color="C0335A" w:sz="3" w:space="1"/>
        </w:pBdr>
        <w:spacing w:after="80" w:before="280"/>
      </w:pPr>
      <w:r>
        <w:rPr>
          <w:rFonts w:ascii="Arial" w:cs="Arial" w:eastAsia="Arial" w:hAnsi="Arial"/>
          <w:b/>
          <w:bCs/>
          <w:color w:val="C0335A"/>
          <w:sz w:val="26"/>
          <w:szCs w:val="26"/>
        </w:rPr>
        <w:t xml:space="preserve">6. MAPA CONSOLIDADO DE ATRITOS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80"/>
        <w:gridCol w:w="2680"/>
      </w:tblGrid>
      <w:tr>
        <w:tc>
          <w:tcPr>
            <w:tcW w:type="dxa" w:w="2000"/>
            <w:tcBorders>
              <w:top w:val="single" w:color="CCCCCC" w:sz="1"/>
              <w:left w:val="single" w:color="CCCCCC" w:sz="1"/>
              <w:bottom w:val="single" w:color="CCCCCC" w:sz="1"/>
              <w:right w:val="single" w:color="CCCCCC" w:sz="1"/>
            </w:tcBorders>
            <w:shd w:fill="1A2238" w:val="clear"/>
            <w:tcMar>
              <w:top w:type="dxa" w:w="80"/>
              <w:left w:type="dxa" w:w="100"/>
              <w:bottom w:type="dxa" w:w="80"/>
              <w:right w:type="dxa" w:w="100"/>
            </w:tcMar>
          </w:tcPr>
          <w:p>
            <w:r>
              <w:rPr>
                <w:rFonts w:ascii="Arial" w:cs="Arial" w:eastAsia="Arial" w:hAnsi="Arial"/>
                <w:b/>
                <w:bCs/>
                <w:color w:val="FFFFFF"/>
                <w:sz w:val="19"/>
                <w:szCs w:val="19"/>
              </w:rPr>
              <w:t xml:space="preserve">DIMENSÃO</w:t>
            </w:r>
          </w:p>
        </w:tc>
        <w:tc>
          <w:tcPr>
            <w:tcW w:type="dxa" w:w="3000"/>
            <w:tcBorders>
              <w:top w:val="single" w:color="CCCCCC" w:sz="1"/>
              <w:left w:val="single" w:color="CCCCCC" w:sz="1"/>
              <w:bottom w:val="single" w:color="CCCCCC" w:sz="1"/>
              <w:right w:val="single" w:color="CCCCCC" w:sz="1"/>
            </w:tcBorders>
            <w:shd w:fill="1A2238" w:val="clear"/>
            <w:tcMar>
              <w:top w:type="dxa" w:w="80"/>
              <w:left w:type="dxa" w:w="100"/>
              <w:bottom w:type="dxa" w:w="80"/>
              <w:right w:type="dxa" w:w="100"/>
            </w:tcMar>
          </w:tcPr>
          <w:p>
            <w:r>
              <w:rPr>
                <w:rFonts w:ascii="Arial" w:cs="Arial" w:eastAsia="Arial" w:hAnsi="Arial"/>
                <w:b/>
                <w:bCs/>
                <w:color w:val="FFFFFF"/>
                <w:sz w:val="19"/>
                <w:szCs w:val="19"/>
              </w:rPr>
              <w:t xml:space="preserve">MANIFESTAÇÃO</w:t>
            </w:r>
          </w:p>
        </w:tc>
        <w:tc>
          <w:tcPr>
            <w:tcW w:type="dxa" w:w="1680"/>
            <w:tcBorders>
              <w:top w:val="single" w:color="CCCCCC" w:sz="1"/>
              <w:left w:val="single" w:color="CCCCCC" w:sz="1"/>
              <w:bottom w:val="single" w:color="CCCCCC" w:sz="1"/>
              <w:right w:val="single" w:color="CCCCCC" w:sz="1"/>
            </w:tcBorders>
            <w:shd w:fill="1A2238" w:val="clear"/>
            <w:tcMar>
              <w:top w:type="dxa" w:w="80"/>
              <w:left w:type="dxa" w:w="100"/>
              <w:bottom w:type="dxa" w:w="80"/>
              <w:right w:type="dxa" w:w="100"/>
            </w:tcMar>
          </w:tcPr>
          <w:p>
            <w:r>
              <w:rPr>
                <w:rFonts w:ascii="Arial" w:cs="Arial" w:eastAsia="Arial" w:hAnsi="Arial"/>
                <w:b/>
                <w:bCs/>
                <w:color w:val="FFFFFF"/>
                <w:sz w:val="19"/>
                <w:szCs w:val="19"/>
              </w:rPr>
              <w:t xml:space="preserve">INTENSIDADE</w:t>
            </w:r>
          </w:p>
        </w:tc>
        <w:tc>
          <w:tcPr>
            <w:tcW w:type="dxa" w:w="2680"/>
            <w:tcBorders>
              <w:top w:val="single" w:color="CCCCCC" w:sz="1"/>
              <w:left w:val="single" w:color="CCCCCC" w:sz="1"/>
              <w:bottom w:val="single" w:color="CCCCCC" w:sz="1"/>
              <w:right w:val="single" w:color="CCCCCC" w:sz="1"/>
            </w:tcBorders>
            <w:shd w:fill="1A2238" w:val="clear"/>
            <w:tcMar>
              <w:top w:type="dxa" w:w="80"/>
              <w:left w:type="dxa" w:w="100"/>
              <w:bottom w:type="dxa" w:w="80"/>
              <w:right w:type="dxa" w:w="100"/>
            </w:tcMar>
          </w:tcPr>
          <w:p>
            <w:r>
              <w:rPr>
                <w:rFonts w:ascii="Arial" w:cs="Arial" w:eastAsia="Arial" w:hAnsi="Arial"/>
                <w:b/>
                <w:bCs/>
                <w:color w:val="FFFFFF"/>
                <w:sz w:val="19"/>
                <w:szCs w:val="19"/>
              </w:rPr>
              <w:t xml:space="preserve">IMPACTO NO FUNIL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bCs/>
                <w:color w:val="333333"/>
                <w:sz w:val="19"/>
                <w:szCs w:val="19"/>
              </w:rPr>
              <w:t xml:space="preserve">Cultural / Identitária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Café como ritual de identidade; resistência à troca simbólica</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ALTA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Consideração → Hábito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bCs/>
                <w:color w:val="333333"/>
                <w:sz w:val="19"/>
                <w:szCs w:val="19"/>
              </w:rPr>
              <w:t xml:space="preserve">Sensorial / Paladar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Sabor amargo e herbáceo; expectativa sensorial negativa</w:t>
            </w:r>
          </w:p>
        </w:tc>
        <w:tc>
          <w:tcPr>
            <w:tcW w:type="dxa" w:w="1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ALTA</w:t>
            </w:r>
          </w:p>
        </w:tc>
        <w:tc>
          <w:tcPr>
            <w:tcW w:type="dxa" w:w="2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Experimentação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bCs/>
                <w:color w:val="333333"/>
                <w:sz w:val="19"/>
                <w:szCs w:val="19"/>
              </w:rPr>
              <w:t xml:space="preserve">Praticidade / Preparo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Complexidade percebida; falta de conveniência no formato pó</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MÉDIA-ALTA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Experimentação → Hábito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bCs/>
                <w:color w:val="333333"/>
                <w:sz w:val="19"/>
                <w:szCs w:val="19"/>
              </w:rPr>
              <w:t xml:space="preserve">Preço / Valor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Custo elevado sem valor percebido claro para não-iniciados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MÉDIA-ALTA</w:t>
            </w:r>
          </w:p>
        </w:tc>
        <w:tc>
          <w:tcPr>
            <w:tcW w:type="dxa" w:w="2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Consideração → Experimentação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bCs/>
                <w:color w:val="333333"/>
                <w:sz w:val="19"/>
                <w:szCs w:val="19"/>
              </w:rPr>
              <w:t xml:space="preserve">Comunicação / Identidade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Linguagem funcional que não gera pertencimento; viés de sobrevivência</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ALTA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Consciência → Consideração</w:t>
            </w:r>
          </w:p>
        </w:tc>
      </w:tr>
    </w:tbl>
    <w:p/>
    <w:p>
      <w:pPr>
        <w:pBdr>
          <w:bottom w:val="single" w:color="C0335A" w:sz="3" w:space="1"/>
        </w:pBdr>
        <w:spacing w:after="80" w:before="280"/>
      </w:pPr>
      <w:r>
        <w:rPr>
          <w:rFonts w:ascii="Arial" w:cs="Arial" w:eastAsia="Arial" w:hAnsi="Arial"/>
          <w:b/>
          <w:bCs/>
          <w:color w:val="C0335A"/>
          <w:sz w:val="26"/>
          <w:szCs w:val="26"/>
        </w:rPr>
        <w:t xml:space="preserve">7. ANÁLISE DO FUNIL DE CONVERSÃO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80"/>
        <w:gridCol w:w="2680"/>
      </w:tblGrid>
      <w:tr>
        <w:tc>
          <w:tcPr>
            <w:tcW w:type="dxa" w:w="2000"/>
            <w:tcBorders>
              <w:top w:val="single" w:color="CCCCCC" w:sz="1"/>
              <w:left w:val="single" w:color="CCCCCC" w:sz="1"/>
              <w:bottom w:val="single" w:color="CCCCCC" w:sz="1"/>
              <w:right w:val="single" w:color="CCCCCC" w:sz="1"/>
            </w:tcBorders>
            <w:shd w:fill="1A2238" w:val="clear"/>
            <w:tcMar>
              <w:top w:type="dxa" w:w="80"/>
              <w:left w:type="dxa" w:w="100"/>
              <w:bottom w:type="dxa" w:w="80"/>
              <w:right w:type="dxa" w:w="100"/>
            </w:tcMar>
          </w:tcPr>
          <w:p>
            <w:r>
              <w:rPr>
                <w:rFonts w:ascii="Arial" w:cs="Arial" w:eastAsia="Arial" w:hAnsi="Arial"/>
                <w:b/>
                <w:bCs/>
                <w:color w:val="FFFFFF"/>
                <w:sz w:val="19"/>
                <w:szCs w:val="19"/>
              </w:rPr>
              <w:t xml:space="preserve">ETAPA DO FUNIL</w:t>
            </w:r>
          </w:p>
        </w:tc>
        <w:tc>
          <w:tcPr>
            <w:tcW w:type="dxa" w:w="3000"/>
            <w:tcBorders>
              <w:top w:val="single" w:color="CCCCCC" w:sz="1"/>
              <w:left w:val="single" w:color="CCCCCC" w:sz="1"/>
              <w:bottom w:val="single" w:color="CCCCCC" w:sz="1"/>
              <w:right w:val="single" w:color="CCCCCC" w:sz="1"/>
            </w:tcBorders>
            <w:shd w:fill="1A2238" w:val="clear"/>
            <w:tcMar>
              <w:top w:type="dxa" w:w="80"/>
              <w:left w:type="dxa" w:w="100"/>
              <w:bottom w:type="dxa" w:w="80"/>
              <w:right w:type="dxa" w:w="100"/>
            </w:tcMar>
          </w:tcPr>
          <w:p>
            <w:r>
              <w:rPr>
                <w:rFonts w:ascii="Arial" w:cs="Arial" w:eastAsia="Arial" w:hAnsi="Arial"/>
                <w:b/>
                <w:bCs/>
                <w:color w:val="FFFFFF"/>
                <w:sz w:val="19"/>
                <w:szCs w:val="19"/>
              </w:rPr>
              <w:t xml:space="preserve">BARREIRAS CRÍTICAS</w:t>
            </w:r>
          </w:p>
        </w:tc>
        <w:tc>
          <w:tcPr>
            <w:tcW w:type="dxa" w:w="1680"/>
            <w:tcBorders>
              <w:top w:val="single" w:color="CCCCCC" w:sz="1"/>
              <w:left w:val="single" w:color="CCCCCC" w:sz="1"/>
              <w:bottom w:val="single" w:color="CCCCCC" w:sz="1"/>
              <w:right w:val="single" w:color="CCCCCC" w:sz="1"/>
            </w:tcBorders>
            <w:shd w:fill="1A2238" w:val="clear"/>
            <w:tcMar>
              <w:top w:type="dxa" w:w="80"/>
              <w:left w:type="dxa" w:w="100"/>
              <w:bottom w:type="dxa" w:w="80"/>
              <w:right w:type="dxa" w:w="100"/>
            </w:tcMar>
          </w:tcPr>
          <w:p>
            <w:r>
              <w:rPr>
                <w:rFonts w:ascii="Arial" w:cs="Arial" w:eastAsia="Arial" w:hAnsi="Arial"/>
                <w:b/>
                <w:bCs/>
                <w:color w:val="FFFFFF"/>
                <w:sz w:val="19"/>
                <w:szCs w:val="19"/>
              </w:rPr>
              <w:t xml:space="preserve">TAXA DE PERDA</w:t>
            </w:r>
          </w:p>
        </w:tc>
        <w:tc>
          <w:tcPr>
            <w:tcW w:type="dxa" w:w="2680"/>
            <w:tcBorders>
              <w:top w:val="single" w:color="CCCCCC" w:sz="1"/>
              <w:left w:val="single" w:color="CCCCCC" w:sz="1"/>
              <w:bottom w:val="single" w:color="CCCCCC" w:sz="1"/>
              <w:right w:val="single" w:color="CCCCCC" w:sz="1"/>
            </w:tcBorders>
            <w:shd w:fill="1A2238" w:val="clear"/>
            <w:tcMar>
              <w:top w:type="dxa" w:w="80"/>
              <w:left w:type="dxa" w:w="100"/>
              <w:bottom w:type="dxa" w:w="80"/>
              <w:right w:type="dxa" w:w="100"/>
            </w:tcMar>
          </w:tcPr>
          <w:p>
            <w:r>
              <w:rPr>
                <w:rFonts w:ascii="Arial" w:cs="Arial" w:eastAsia="Arial" w:hAnsi="Arial"/>
                <w:b/>
                <w:bCs/>
                <w:color w:val="FFFFFF"/>
                <w:sz w:val="19"/>
                <w:szCs w:val="19"/>
              </w:rPr>
              <w:t xml:space="preserve">INTERVENÇÃO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bCs/>
                <w:color w:val="333333"/>
                <w:sz w:val="19"/>
                <w:szCs w:val="19"/>
              </w:rPr>
              <w:t xml:space="preserve">Consciência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Linguagem não-nativa à Gen Z; conteúdo funcional sem identificação emocional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MODERADA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Tom de identidade antes de funcionalidade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bCs/>
                <w:color w:val="333333"/>
                <w:sz w:val="19"/>
                <w:szCs w:val="19"/>
              </w:rPr>
              <w:t xml:space="preserve">Consideração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Ritual do café enraizado; preço alto sem valor claro; falta de identificação</w:t>
            </w:r>
          </w:p>
        </w:tc>
        <w:tc>
          <w:tcPr>
            <w:tcW w:type="dxa" w:w="1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ALTA</w:t>
            </w:r>
          </w:p>
        </w:tc>
        <w:tc>
          <w:tcPr>
            <w:tcW w:type="dxa" w:w="2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Reposicionamento: adição, não substituição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bCs/>
                <w:color w:val="333333"/>
                <w:sz w:val="19"/>
                <w:szCs w:val="19"/>
              </w:rPr>
              <w:t xml:space="preserve">Experimentação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Sabor desconhecido; complexidade de preparo; risco de "não gostar e desperdiçar"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MUITO ALTA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Amostras, degustação, garantia de satisfação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bCs/>
                <w:color w:val="333333"/>
                <w:sz w:val="19"/>
                <w:szCs w:val="19"/>
              </w:rPr>
              <w:t xml:space="preserve">Hábito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Conveniência inferior ao café; custo recorrente; ausência de rituais alternativos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ALTA</w:t>
            </w:r>
          </w:p>
        </w:tc>
        <w:tc>
          <w:tcPr>
            <w:tcW w:type="dxa" w:w="2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Simplificar preparo; gamificar sequência diária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bCs/>
                <w:color w:val="333333"/>
                <w:sz w:val="19"/>
                <w:szCs w:val="19"/>
              </w:rPr>
              <w:t xml:space="preserve">Recompra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Menos crítica: taxa de 37% no Matcha Latte confirma fidelização pós-conversão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BAIXA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Manter qualidade e comunidade engajada</w:t>
            </w:r>
          </w:p>
        </w:tc>
      </w:tr>
    </w:tbl>
    <w:p/>
    <w:p>
      <w:pPr>
        <w:pBdr>
          <w:bottom w:val="single" w:color="C0335A" w:sz="3" w:space="1"/>
        </w:pBdr>
        <w:spacing w:after="80" w:before="280"/>
      </w:pPr>
      <w:r>
        <w:rPr>
          <w:rFonts w:ascii="Arial" w:cs="Arial" w:eastAsia="Arial" w:hAnsi="Arial"/>
          <w:b/>
          <w:bCs/>
          <w:color w:val="C0335A"/>
          <w:sz w:val="26"/>
          <w:szCs w:val="26"/>
        </w:rPr>
        <w:t xml:space="preserve">8. PARÂMETROS PARA O CONSUMIDOR SINTÉTICO — CAMADAS DE RESISTÊNCIA</w:t>
      </w:r>
    </w:p>
    <w:p/>
    <w:p>
      <w:pPr>
        <w:spacing w:after="60" w:before="60"/>
        <w:jc w:val="both"/>
      </w:pPr>
      <w:r>
        <w:rPr>
          <w:rFonts w:ascii="Arial" w:cs="Arial" w:eastAsia="Arial" w:hAnsi="Arial"/>
          <w:color w:val="333333"/>
          <w:sz w:val="21"/>
          <w:szCs w:val="21"/>
        </w:rPr>
        <w:t xml:space="preserve">O mapeamento de atritos deve ser incorporado ao Consumidor Sintético como camadas de resistência que o modelo precisa simular com fidelidade: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DIMENSÃO DE BARREIRA — COMPORTAMENTO A SIMULAR</w:t>
            </w:r>
          </w:p>
        </w:tc>
        <w:tc>
          <w:tcPr>
            <w:tcW w:type="dxa" w:w="636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PERGUNTA-TESTE PARA VALIDAÇÃO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Cultural/Identitária: expressar dúvida sobre se matcha "combina com minha rotina"; comparar com o café como referência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"Você consegue imaginar tomar matcha toda manhã em vez do café?"</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Sensorial/Paladar: demonstrar ceticismo sobre o sabor antes de experimentar; relembrar experiências anteriores com sabores amargos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"Como você acha que vai ser o sabor? Você teria curiosidade de experimentar?"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Praticidade/Preparo: questionar como se prepara; demonstrar resistência a qualquer preparo mais complexo que abrir uma lata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"Se precisasse preparar com leite ou bater, isso te travaria?"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Preço/Valor: comparar o preço com equivalentes conhecidos (Red Bull, café da faculdade); questionar custo-benefício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"Esse preço faz sentido para você? O que justificaria pagar mais caro?"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Comunicação/Identidade: reagir com indiferença a conteúdo excessivamente funcional; engajar com conteúdo estético e de comunidade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"Esse post te faria parar de rolar o feed? Por quê?"</w:t>
            </w:r>
          </w:p>
        </w:tc>
      </w:tr>
    </w:tbl>
    <w:p/>
    <w:p>
      <w:pPr>
        <w:pBdr>
          <w:bottom w:val="single" w:color="C0335A" w:sz="3" w:space="1"/>
        </w:pBdr>
        <w:spacing w:after="80" w:before="280"/>
      </w:pPr>
      <w:r>
        <w:rPr>
          <w:rFonts w:ascii="Arial" w:cs="Arial" w:eastAsia="Arial" w:hAnsi="Arial"/>
          <w:b/>
          <w:bCs/>
          <w:color w:val="C0335A"/>
          <w:sz w:val="26"/>
          <w:szCs w:val="26"/>
        </w:rPr>
        <w:t xml:space="preserve">9. RECOMENDAÇÕES ESTRATÉGICAS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238" w:val="clear"/>
            <w:tcMar>
              <w:top w:type="dxa" w:w="80"/>
              <w:left w:type="dxa" w:w="160"/>
              <w:bottom w:type="dxa" w:w="80"/>
              <w:right w:type="dxa" w:w="160"/>
            </w:tcMar>
          </w:tcPr>
          <w:p>
            <w:r>
              <w:rPr>
                <w:rFonts w:ascii="Arial" w:cs="Arial" w:eastAsia="Arial" w:hAnsi="Arial"/>
                <w:b/>
                <w:bCs/>
                <w:color w:val="FFFFFF"/>
                <w:sz w:val="21"/>
                <w:szCs w:val="21"/>
              </w:rPr>
              <w:t xml:space="preserve">FRENTE 1 — REPOSICIONAMENTO SIMBÓLICO: DE SUBSTITUTO A ADIÇÃO</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Em vez de comunicar matcha como "substituto do café", posicioná-lo como nova categoria de experiência que coexiste com o café — reduzindo a resistência identitária. Mensagem: "você não precisa abrir mão do café para se beneficiar do matcha." O movimento "sober curious" (Innova, 2026) mostra que jovens adotam alternativas quando percebem adição, não privação.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238" w:val="clear"/>
            <w:tcMar>
              <w:top w:type="dxa" w:w="80"/>
              <w:left w:type="dxa" w:w="160"/>
              <w:bottom w:type="dxa" w:w="80"/>
              <w:right w:type="dxa" w:w="160"/>
            </w:tcMar>
          </w:tcPr>
          <w:p>
            <w:r>
              <w:rPr>
                <w:rFonts w:ascii="Arial" w:cs="Arial" w:eastAsia="Arial" w:hAnsi="Arial"/>
                <w:b/>
                <w:bCs/>
                <w:color w:val="FFFFFF"/>
                <w:sz w:val="21"/>
                <w:szCs w:val="21"/>
              </w:rPr>
              <w:t xml:space="preserve">FRENTE 2 — DEMOCRATIZAÇÃO DA EXPERIMENTAÇÃO: REDUÇÃO DO RISCO</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A barreira sensorial e de preço precisam ser atacadas conjuntamente. Estratégias: kits de amostra grátis, parceria com cafeterias e academias para degustação, garantia de reembolso. O Matcha Latte (com sabores familiares) deve ser o produto de entrada — não o matcha puro em pó.</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238" w:val="clear"/>
            <w:tcMar>
              <w:top w:type="dxa" w:w="80"/>
              <w:left w:type="dxa" w:w="160"/>
              <w:bottom w:type="dxa" w:w="80"/>
              <w:right w:type="dxa" w:w="160"/>
            </w:tcMar>
          </w:tcPr>
          <w:p>
            <w:r>
              <w:rPr>
                <w:rFonts w:ascii="Arial" w:cs="Arial" w:eastAsia="Arial" w:hAnsi="Arial"/>
                <w:b/>
                <w:bCs/>
                <w:color w:val="FFFFFF"/>
                <w:sz w:val="21"/>
                <w:szCs w:val="21"/>
              </w:rPr>
              <w:t xml:space="preserve">FRENTE 3 — SIMPLIFICAÇÃO RADICAL DO PREPARO NA COMUNICAÇÃO</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Todo conteúdo de redes sociais deve mostrar o preparo em menos de 60 segundos, com utensílios que o jovem já tem (shakeira, misturador de leite manual, liquidificador). O formato de vídeo curto no TikTok é o canal ideal para desmistificar o ritual de preparo e transformá-lo em entretenimento — não instrução técnica.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238" w:val="clear"/>
            <w:tcMar>
              <w:top w:type="dxa" w:w="80"/>
              <w:left w:type="dxa" w:w="160"/>
              <w:bottom w:type="dxa" w:w="80"/>
              <w:right w:type="dxa" w:w="160"/>
            </w:tcMar>
          </w:tcPr>
          <w:p>
            <w:r>
              <w:rPr>
                <w:rFonts w:ascii="Arial" w:cs="Arial" w:eastAsia="Arial" w:hAnsi="Arial"/>
                <w:b/>
                <w:bCs/>
                <w:color w:val="FFFFFF"/>
                <w:sz w:val="21"/>
                <w:szCs w:val="21"/>
              </w:rPr>
              <w:t xml:space="preserve">FRENTE 4 — CANAIS DE ESCUTA NATIVOS: ELIMINAÇÃO DO VIÉS DE SOBREVIVÊNCIA</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Implementar canais de feedback que alcancem o não-consumidor: enquetes interativas no TikTok e Instagram Stories, sessões de "review ao vivo" com micro-influenciadores, comunidades no Discord ou WhatsApp. Esses canais capturam tanto quem comprou quanto quem abandonou a jornada — dados essenciais para alimentar o Consumidor Sintético com resistências reais.</w:t>
            </w:r>
          </w:p>
        </w:tc>
      </w:tr>
    </w:tbl>
    <w:p>
      <w:r>
        <w:br w:type="page"/>
      </w:r>
    </w:p>
    <w:p>
      <w:pPr>
        <w:pBdr>
          <w:bottom w:val="single" w:color="C0335A" w:sz="6" w:space="2"/>
        </w:pBdr>
        <w:shd w:fill="1A2238" w:val="clear"/>
        <w:spacing w:after="120" w:before="360"/>
        <w:ind w:left="200" w:right="200"/>
      </w:pPr>
      <w:r>
        <w:rPr>
          <w:rFonts w:ascii="Arial" w:cs="Arial" w:eastAsia="Arial" w:hAnsi="Arial"/>
          <w:b/>
          <w:bCs/>
          <w:color w:val="FFFFFF"/>
          <w:sz w:val="34"/>
          <w:szCs w:val="34"/>
        </w:rPr>
        <w:t xml:space="preserve">PARTE III — ANÁLISE DE CANAIS DE FEEDBACK: PREFERÊNCIAS DE INTERAÇÃO DA GEN Z</w:t>
      </w:r>
    </w:p>
    <w:p/>
    <w:p>
      <w:pPr>
        <w:spacing w:after="60" w:before="60"/>
        <w:jc w:val="both"/>
      </w:pPr>
      <w:r>
        <w:rPr>
          <w:rFonts w:ascii="Arial" w:cs="Arial" w:eastAsia="Arial" w:hAnsi="Arial"/>
          <w:color w:val="333333"/>
          <w:sz w:val="21"/>
          <w:szCs w:val="21"/>
        </w:rPr>
        <w:t xml:space="preserve">Subtópico 2.3 · Autor: Grupo Push Matcha · FGV 2026.1</w:t>
      </w:r>
    </w:p>
    <w:p/>
    <w:p>
      <w:pPr>
        <w:pBdr>
          <w:bottom w:val="single" w:color="C0335A" w:sz="3" w:space="1"/>
        </w:pBdr>
        <w:spacing w:after="80" w:before="280"/>
      </w:pPr>
      <w:r>
        <w:rPr>
          <w:rFonts w:ascii="Arial" w:cs="Arial" w:eastAsia="Arial" w:hAnsi="Arial"/>
          <w:b/>
          <w:bCs/>
          <w:color w:val="C0335A"/>
          <w:sz w:val="26"/>
          <w:szCs w:val="26"/>
        </w:rPr>
        <w:t xml:space="preserve">1. PANORAMA DA GEN Z COMO CONSUMIDORA DIGITAL</w:t>
      </w:r>
    </w:p>
    <w:p/>
    <w:p>
      <w:pPr>
        <w:spacing w:after="60" w:before="200"/>
      </w:pPr>
      <w:r>
        <w:rPr>
          <w:rFonts w:ascii="Arial" w:cs="Arial" w:eastAsia="Arial" w:hAnsi="Arial"/>
          <w:b/>
          <w:bCs/>
          <w:color w:val="1A2238"/>
          <w:sz w:val="23"/>
          <w:szCs w:val="23"/>
        </w:rPr>
        <w:t xml:space="preserve">1.1 Perfil de Comunicação Digital</w:t>
      </w:r>
    </w:p>
    <w:p>
      <w:pPr>
        <w:spacing w:after="60" w:before="60"/>
        <w:jc w:val="both"/>
      </w:pPr>
      <w:r>
        <w:rPr>
          <w:rFonts w:ascii="Arial" w:cs="Arial" w:eastAsia="Arial" w:hAnsi="Arial"/>
          <w:color w:val="333333"/>
          <w:sz w:val="21"/>
          <w:szCs w:val="21"/>
        </w:rPr>
        <w:t xml:space="preserve">A Geração Z é a primeira geração verdadeiramente nativa digital. De acordo com Karácsony et al. (2020), 74% dos membros preferem a comunicação digital, enquanto apenas 26% optam pela interação presencial como primeira escolha.</w:t>
      </w:r>
    </w:p>
    <w:p/>
    <w:p>
      <w:pPr>
        <w:spacing w:after="60" w:before="60"/>
        <w:jc w:val="both"/>
      </w:pPr>
      <w:r>
        <w:rPr>
          <w:rFonts w:ascii="Arial" w:cs="Arial" w:eastAsia="Arial" w:hAnsi="Arial"/>
          <w:color w:val="333333"/>
          <w:sz w:val="21"/>
          <w:szCs w:val="21"/>
        </w:rPr>
        <w:t xml:space="preserve">Essa natureza digital molda diretamente como esses consumidores buscam informações, avaliam produtos e fornecem feedback. Segundo dados da Forbes Advisor (Agência Mestre, 2024), cerca de 48% dos integrantes da Gen Z utilizam plataformas como Instagram, TikTok e YouTube como principal canal de pesquisa de produtos, em detrimento de ferramentas de busca tradicionais como o Google.</w:t>
      </w:r>
    </w:p>
    <w:p/>
    <w:p>
      <w:pPr>
        <w:spacing w:after="60" w:before="60"/>
        <w:jc w:val="both"/>
      </w:pPr>
      <w:r>
        <w:rPr>
          <w:rFonts w:ascii="Arial" w:cs="Arial" w:eastAsia="Arial" w:hAnsi="Arial"/>
          <w:color w:val="333333"/>
          <w:sz w:val="21"/>
          <w:szCs w:val="21"/>
        </w:rPr>
        <w:t xml:space="preserve">No Brasil, dados da FGV apontam que aproximadamente 40% dos jovens desta geração preferem realizar pesquisas de produtos diretamente no TikTok e no Instagram. A mesma plataforma que serve como canal de descoberta torna-se também o espaço onde o consumidor manifesta sua opinião, experiencia o produto e influencia outros compradores.</w:t>
      </w:r>
    </w:p>
    <w:p/>
    <w:p>
      <w:pPr>
        <w:spacing w:after="60" w:before="200"/>
      </w:pPr>
      <w:r>
        <w:rPr>
          <w:rFonts w:ascii="Arial" w:cs="Arial" w:eastAsia="Arial" w:hAnsi="Arial"/>
          <w:b/>
          <w:bCs/>
          <w:color w:val="1A2238"/>
          <w:sz w:val="23"/>
          <w:szCs w:val="23"/>
        </w:rPr>
        <w:t xml:space="preserve">1.2 Comportamento de Consumo e Jornada de Compra</w:t>
      </w:r>
    </w:p>
    <w:p>
      <w:pPr>
        <w:spacing w:after="60" w:before="60"/>
        <w:jc w:val="both"/>
      </w:pPr>
      <w:r>
        <w:rPr>
          <w:rFonts w:ascii="Arial" w:cs="Arial" w:eastAsia="Arial" w:hAnsi="Arial"/>
          <w:color w:val="333333"/>
          <w:sz w:val="21"/>
          <w:szCs w:val="21"/>
        </w:rPr>
        <w:t xml:space="preserve">A jornada de compra da Gen Z não é linear. Dados principais: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DADO</w:t>
            </w:r>
          </w:p>
        </w:tc>
        <w:tc>
          <w:tcPr>
            <w:tcW w:type="dxa" w:w="636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IMPLICAÇÃO PARA A PUSH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97% utilizam redes sociais para inspiração em compras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Presença qualificada em redes é pré-requisito, não diferencial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Mais de 50% já realizaram ao menos uma compra diretamente em redes sociais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Social commerce como canal de venda real, não apenas de descoberta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41% descobrem novos produtos por meio de vídeos curtos (Exploding Topics, 2025)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TikTok e Reels são os principais pontos de entrada no funil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4 em cada 5 Gen Z deixaram de comprar de uma marca por má reputação (Forbes, 2025)</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Presença digital consistente e canais de feedback ativos são obrigatórios</w:t>
            </w:r>
          </w:p>
        </w:tc>
      </w:tr>
    </w:tbl>
    <w:p/>
    <w:p>
      <w:pPr>
        <w:pBdr>
          <w:bottom w:val="single" w:color="C0335A" w:sz="3" w:space="1"/>
        </w:pBdr>
        <w:spacing w:after="80" w:before="280"/>
      </w:pPr>
      <w:r>
        <w:rPr>
          <w:rFonts w:ascii="Arial" w:cs="Arial" w:eastAsia="Arial" w:hAnsi="Arial"/>
          <w:b/>
          <w:bCs/>
          <w:color w:val="C0335A"/>
          <w:sz w:val="26"/>
          <w:szCs w:val="26"/>
        </w:rPr>
        <w:t xml:space="preserve">2. CANAIS TRADICIONAIS DE FEEDBACK: LIMITAÇÕES PARA A GEN Z</w:t>
      </w:r>
    </w:p>
    <w:p/>
    <w:p>
      <w:pPr>
        <w:spacing w:after="60" w:before="200"/>
      </w:pPr>
      <w:r>
        <w:rPr>
          <w:rFonts w:ascii="Arial" w:cs="Arial" w:eastAsia="Arial" w:hAnsi="Arial"/>
          <w:b/>
          <w:bCs/>
          <w:color w:val="1A2238"/>
          <w:sz w:val="23"/>
          <w:szCs w:val="23"/>
        </w:rPr>
        <w:t xml:space="preserve">2.1 SAC e E-mail</w:t>
      </w:r>
    </w:p>
    <w:p>
      <w:pPr>
        <w:spacing w:after="60" w:before="60"/>
        <w:jc w:val="both"/>
      </w:pPr>
      <w:r>
        <w:rPr>
          <w:rFonts w:ascii="Arial" w:cs="Arial" w:eastAsia="Arial" w:hAnsi="Arial"/>
          <w:color w:val="333333"/>
          <w:sz w:val="21"/>
          <w:szCs w:val="21"/>
        </w:rPr>
        <w:t xml:space="preserve">Os canais clássicos de atendimento ao consumidor foram concebidos para públicos que valorizam formalidade e estrutura processual. Apresentam três características incompatíveis com o perfil da Gen Z:</w:t>
      </w:r>
    </w:p>
    <w:p/>
    <w:p>
      <w:pPr>
        <w:pStyle w:val="ListParagraph"/>
        <w:numPr>
          <w:ilvl w:val="0"/>
          <w:numId w:val="2"/>
        </w:numPr>
        <w:spacing w:after="40" w:before="40"/>
      </w:pPr>
      <w:r>
        <w:rPr>
          <w:rFonts w:ascii="Arial" w:cs="Arial" w:eastAsia="Arial" w:hAnsi="Arial"/>
          <w:color w:val="333333"/>
          <w:sz w:val="21"/>
          <w:szCs w:val="21"/>
        </w:rPr>
        <w:t xml:space="preserve">Assincronia elevada: a Gen Z espera feedback constante e imediato (Gabrielova &amp; Buchko, 2021). Esse requisito está diretamente relacionado ao seu crescimento em um ambiente digital de comunicação instantânea.</w:t>
      </w:r>
    </w:p>
    <w:p>
      <w:pPr>
        <w:pStyle w:val="ListParagraph"/>
        <w:numPr>
          <w:ilvl w:val="0"/>
          <w:numId w:val="2"/>
        </w:numPr>
        <w:spacing w:after="40" w:before="40"/>
      </w:pPr>
      <w:r>
        <w:rPr>
          <w:rFonts w:ascii="Arial" w:cs="Arial" w:eastAsia="Arial" w:hAnsi="Arial"/>
          <w:color w:val="333333"/>
          <w:sz w:val="21"/>
          <w:szCs w:val="21"/>
        </w:rPr>
        <w:t xml:space="preserve">Falta de visualidade: a Gen Z é predominantemente visual. Plataformas de vídeo curto e conteúdo imagético são os formatos com os quais mais se identificam. Formatos textuais longos e burocráticos criam barreiras de engajamento significativas.</w:t>
      </w:r>
    </w:p>
    <w:p>
      <w:pPr>
        <w:pStyle w:val="ListParagraph"/>
        <w:numPr>
          <w:ilvl w:val="0"/>
          <w:numId w:val="2"/>
        </w:numPr>
        <w:spacing w:after="40" w:before="40"/>
      </w:pPr>
      <w:r>
        <w:rPr>
          <w:rFonts w:ascii="Arial" w:cs="Arial" w:eastAsia="Arial" w:hAnsi="Arial"/>
          <w:color w:val="333333"/>
          <w:sz w:val="21"/>
          <w:szCs w:val="21"/>
        </w:rPr>
        <w:t xml:space="preserve">Ausência de comunidade: o e-mail e o SAC são canais individuais e privados, o que contraria a natureza social e comunitária da interação digital que essa geração busca nas marcas.</w:t>
      </w:r>
    </w:p>
    <w:p/>
    <w:p>
      <w:pPr>
        <w:spacing w:after="60" w:before="60"/>
        <w:jc w:val="both"/>
      </w:pPr>
      <w:r>
        <w:rPr>
          <w:rFonts w:ascii="Arial" w:cs="Arial" w:eastAsia="Arial" w:hAnsi="Arial"/>
          <w:color w:val="333333"/>
          <w:sz w:val="21"/>
          <w:szCs w:val="21"/>
        </w:rPr>
        <w:t xml:space="preserve">Pesquisa publicada no International Journal of Research Publication and Reviews (2025) confirma: enquanto Millennials tendem a preferir abordagens equilibradas com feedback estruturado, a Gen Z se inclina fortemente para comunicação em tempo real e flexível, em detrimento de formatos formais.</w:t>
      </w:r>
    </w:p>
    <w:p/>
    <w:p>
      <w:pPr>
        <w:spacing w:after="60" w:before="200"/>
      </w:pPr>
      <w:r>
        <w:rPr>
          <w:rFonts w:ascii="Arial" w:cs="Arial" w:eastAsia="Arial" w:hAnsi="Arial"/>
          <w:b/>
          <w:bCs/>
          <w:color w:val="1A2238"/>
          <w:sz w:val="23"/>
          <w:szCs w:val="23"/>
        </w:rPr>
        <w:t xml:space="preserve">2.2 Pesquisas de Satisfação Tradicionais</w:t>
      </w:r>
    </w:p>
    <w:p>
      <w:pPr>
        <w:spacing w:after="60" w:before="60"/>
        <w:jc w:val="both"/>
      </w:pPr>
      <w:r>
        <w:rPr>
          <w:rFonts w:ascii="Arial" w:cs="Arial" w:eastAsia="Arial" w:hAnsi="Arial"/>
          <w:color w:val="333333"/>
          <w:sz w:val="21"/>
          <w:szCs w:val="21"/>
        </w:rPr>
        <w:t xml:space="preserve">Formulários de satisfação post-compra (NPS por e-mail ou SMS) perdem efetividade nesse segmento. O principal motivo está relacionado à percepção de artificialidade: a Gen Z é particularmente habilidosa em identificar estímulos não genuínos. Estudo qualitativo publicado no MIJRD Journal (2025) aponta que a expectativa de autenticidade e responsividade é uma das principais exigências desse público nas interações com marcas e instituições.</w:t>
      </w:r>
    </w:p>
    <w:p/>
    <w:p>
      <w:pPr>
        <w:pBdr>
          <w:bottom w:val="single" w:color="C0335A" w:sz="3" w:space="1"/>
        </w:pBdr>
        <w:spacing w:after="80" w:before="280"/>
      </w:pPr>
      <w:r>
        <w:rPr>
          <w:rFonts w:ascii="Arial" w:cs="Arial" w:eastAsia="Arial" w:hAnsi="Arial"/>
          <w:b/>
          <w:bCs/>
          <w:color w:val="C0335A"/>
          <w:sz w:val="26"/>
          <w:szCs w:val="26"/>
        </w:rPr>
        <w:t xml:space="preserve">3. CANAIS ORGÂNICOS E DIGITAIS: PREFERÊNCIAS DA GEN Z</w:t>
      </w:r>
    </w:p>
    <w:p/>
    <w:p>
      <w:pPr>
        <w:spacing w:after="60" w:before="200"/>
      </w:pPr>
      <w:r>
        <w:rPr>
          <w:rFonts w:ascii="Arial" w:cs="Arial" w:eastAsia="Arial" w:hAnsi="Arial"/>
          <w:b/>
          <w:bCs/>
          <w:color w:val="1A2238"/>
          <w:sz w:val="23"/>
          <w:szCs w:val="23"/>
        </w:rPr>
        <w:t xml:space="preserve">3.1 Instagram</w:t>
      </w:r>
    </w:p>
    <w:p>
      <w:pPr>
        <w:spacing w:after="60" w:before="60"/>
        <w:jc w:val="both"/>
      </w:pPr>
      <w:r>
        <w:rPr>
          <w:rFonts w:ascii="Arial" w:cs="Arial" w:eastAsia="Arial" w:hAnsi="Arial"/>
          <w:color w:val="333333"/>
          <w:sz w:val="21"/>
          <w:szCs w:val="21"/>
        </w:rPr>
        <w:t xml:space="preserve">O Instagram consolida-se como principal canal de expressão e conexão para jovens brasileiros. Dados da Opinion Box (Publya, 2025): 84% dos jovens de 16 a 29 anos têm o Instagram como plataforma preferida para compartilhar experiências, opiniões e valores pessoais. Os Stories são o formato favorito de 62% do público jovem nessa plataforma.</w:t>
      </w:r>
    </w:p>
    <w:p/>
    <w:p>
      <w:pPr>
        <w:spacing w:after="60" w:before="60"/>
        <w:jc w:val="both"/>
      </w:pPr>
      <w:r>
        <w:rPr>
          <w:rFonts w:ascii="Arial" w:cs="Arial" w:eastAsia="Arial" w:hAnsi="Arial"/>
          <w:color w:val="333333"/>
          <w:sz w:val="21"/>
          <w:szCs w:val="21"/>
        </w:rPr>
        <w:t xml:space="preserve">Do ponto de vista do feedback para marcas, o Instagram permite interações híbridas: marcar a marca em publicação, enviar DM ou reagir a Story — criando um canal informal e assimétrico que se assemelha mais a uma conversa entre pares do que a um processo formal de atendimento. Esse formato é percebido pela Gen Z como mais autêntico e responsivo.</w:t>
      </w:r>
    </w:p>
    <w:p/>
    <w:p>
      <w:pPr>
        <w:spacing w:after="60" w:before="60"/>
        <w:jc w:val="both"/>
      </w:pPr>
      <w:r>
        <w:rPr>
          <w:rFonts w:ascii="Arial" w:cs="Arial" w:eastAsia="Arial" w:hAnsi="Arial"/>
          <w:color w:val="333333"/>
          <w:sz w:val="21"/>
          <w:szCs w:val="21"/>
        </w:rPr>
        <w:t xml:space="preserve">Para a Push Matcha, esse canal tem aderência direta ao posicionamento visual e estético da marca. Um produto como o matcha, carregado de simbolismo ligado a estilo de vida saudável e estética oriental, encontra no Instagram um ambiente naturalmente favorável para circulação de UGC e coleta informal de opiniões.</w:t>
      </w:r>
    </w:p>
    <w:p/>
    <w:p>
      <w:pPr>
        <w:spacing w:after="60" w:before="200"/>
      </w:pPr>
      <w:r>
        <w:rPr>
          <w:rFonts w:ascii="Arial" w:cs="Arial" w:eastAsia="Arial" w:hAnsi="Arial"/>
          <w:b/>
          <w:bCs/>
          <w:color w:val="1A2238"/>
          <w:sz w:val="23"/>
          <w:szCs w:val="23"/>
        </w:rPr>
        <w:t xml:space="preserve">3.2 TikTok</w:t>
      </w:r>
    </w:p>
    <w:p>
      <w:pPr>
        <w:spacing w:after="60" w:before="60"/>
        <w:jc w:val="both"/>
      </w:pPr>
      <w:r>
        <w:rPr>
          <w:rFonts w:ascii="Arial" w:cs="Arial" w:eastAsia="Arial" w:hAnsi="Arial"/>
          <w:color w:val="333333"/>
          <w:sz w:val="21"/>
          <w:szCs w:val="21"/>
        </w:rPr>
        <w:t xml:space="preserve">O TikTok emergiu como ferramenta de busca, descoberta de produtos e manifestação de opiniões sobre marcas. Segundo o Ofcom (Reino Unido), 45% da Gen Z opta pelo "social searching" em redes sociais em vez de mecanismos de busca tradicionais. Entre jovens de 16 a 24 anos, o TikTok foi apontado como principal veículo de informações.</w:t>
      </w:r>
    </w:p>
    <w:p/>
    <w:p>
      <w:pPr>
        <w:spacing w:after="60" w:before="60"/>
        <w:jc w:val="both"/>
      </w:pPr>
      <w:r>
        <w:rPr>
          <w:rFonts w:ascii="Arial" w:cs="Arial" w:eastAsia="Arial" w:hAnsi="Arial"/>
          <w:color w:val="333333"/>
          <w:sz w:val="21"/>
          <w:szCs w:val="21"/>
        </w:rPr>
        <w:t xml:space="preserve">No contexto de feedback, o TikTok tem uma característica especialmente relevante: a cultura dos reviews espontâneos. Usuários habitualmente publicam vídeos avaliando produtos que consomem, sem qualquer estímulo direto da marca. Esse conteúdo, quando positivo, funciona como prova social de alta credibilidade; quando negativo, torna-se alerta estratégico de alto alcance.</w:t>
      </w:r>
    </w:p>
    <w:p/>
    <w:p>
      <w:pPr>
        <w:spacing w:after="60" w:before="60"/>
        <w:jc w:val="both"/>
      </w:pPr>
      <w:r>
        <w:rPr>
          <w:rFonts w:ascii="Arial" w:cs="Arial" w:eastAsia="Arial" w:hAnsi="Arial"/>
          <w:color w:val="333333"/>
          <w:sz w:val="21"/>
          <w:szCs w:val="21"/>
        </w:rPr>
        <w:t xml:space="preserve">Dados de descoberta de novidades (GRIN, 2025): 30,4% da Gen Z descobre no Instagram, 23,2% no TikTok, e o Google aparece em terceiro com apenas 18,8% — dado que ilustra a transformação no ecossistema de descoberta.</w:t>
      </w:r>
    </w:p>
    <w:p/>
    <w:p>
      <w:pPr>
        <w:spacing w:after="60" w:before="200"/>
      </w:pPr>
      <w:r>
        <w:rPr>
          <w:rFonts w:ascii="Arial" w:cs="Arial" w:eastAsia="Arial" w:hAnsi="Arial"/>
          <w:b/>
          <w:bCs/>
          <w:color w:val="1A2238"/>
          <w:sz w:val="23"/>
          <w:szCs w:val="23"/>
        </w:rPr>
        <w:t xml:space="preserve">3.3 Conteúdo Gerado pelo Usuário (UGC)</w:t>
      </w:r>
    </w:p>
    <w:p>
      <w:pPr>
        <w:spacing w:after="60" w:before="60"/>
        <w:jc w:val="both"/>
      </w:pPr>
      <w:r>
        <w:rPr>
          <w:rFonts w:ascii="Arial" w:cs="Arial" w:eastAsia="Arial" w:hAnsi="Arial"/>
          <w:color w:val="333333"/>
          <w:sz w:val="21"/>
          <w:szCs w:val="21"/>
        </w:rPr>
        <w:t xml:space="preserve">O UGC representa um dos canais de feedback mais relevantes e genuinamente preferidos pela Gen Z. Trata-se de qualquer conteúdo — fotos, vídeos, avaliações, comentários — produzido pelos próprios consumidores sem estímulo financeiro direto da marca.</w:t>
      </w:r>
    </w:p>
    <w:p/>
    <w:p>
      <w:pPr>
        <w:spacing w:after="60" w:before="60"/>
        <w:jc w:val="both"/>
      </w:pPr>
      <w:r>
        <w:rPr>
          <w:rFonts w:ascii="Arial" w:cs="Arial" w:eastAsia="Arial" w:hAnsi="Arial"/>
          <w:color w:val="333333"/>
          <w:sz w:val="21"/>
          <w:szCs w:val="21"/>
        </w:rPr>
        <w:t xml:space="preserve">Evidências acadêmicas e setoriais: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DADO</w:t>
            </w:r>
          </w:p>
        </w:tc>
        <w:tc>
          <w:tcPr>
            <w:tcW w:type="dxa" w:w="636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FONTE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70% da Gen Z afirma que o UGC é muito útil em suas decisões de compra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Billo, 2025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84% da Gen Z tende a confiar mais em marcas que apresentam consumidores reais em suas comunicações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EmbedSocial,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79% dos consumidores da Gen Z preferem recomendações de pares à publicidade de marcas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SocialTargeter, 2024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O UGC é considerado 2,5 vezes mais autêntico do que o conteúdo produzido pelas próprias marcas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Nosto, apud CrowdRiff, 2024</w:t>
            </w:r>
          </w:p>
        </w:tc>
      </w:tr>
    </w:tbl>
    <w:p/>
    <w:p>
      <w:pPr>
        <w:spacing w:after="60" w:before="60"/>
        <w:jc w:val="both"/>
      </w:pPr>
      <w:r>
        <w:rPr>
          <w:rFonts w:ascii="Arial" w:cs="Arial" w:eastAsia="Arial" w:hAnsi="Arial"/>
          <w:color w:val="333333"/>
          <w:sz w:val="21"/>
          <w:szCs w:val="21"/>
        </w:rPr>
        <w:t xml:space="preserve">Segundo a pesquisa publicada na Organicom (USP), a Gen Z brasileira busca empresas que demonstram responsabilidade social e ambiental e valoriza marcas que dialogam com seus valores por meio de comunidades autênticas, não apenas por meio de campanhas institucionais.</w:t>
      </w:r>
    </w:p>
    <w:p/>
    <w:p>
      <w:pPr>
        <w:spacing w:after="60" w:before="60"/>
        <w:jc w:val="both"/>
      </w:pPr>
      <w:r>
        <w:rPr>
          <w:rFonts w:ascii="Arial" w:cs="Arial" w:eastAsia="Arial" w:hAnsi="Arial"/>
          <w:color w:val="333333"/>
          <w:sz w:val="21"/>
          <w:szCs w:val="21"/>
        </w:rPr>
        <w:t xml:space="preserve">Para a Push Matcha, estimular e monitorar o UGC representa simultaneamente uma estratégia de aquisição (a visão de outras pessoas consumindo o produto incentiva novos compradores) e um canal valioso de feedback orgânico.</w:t>
      </w:r>
    </w:p>
    <w:p/>
    <w:p>
      <w:pPr>
        <w:spacing w:after="60" w:before="200"/>
      </w:pPr>
      <w:r>
        <w:rPr>
          <w:rFonts w:ascii="Arial" w:cs="Arial" w:eastAsia="Arial" w:hAnsi="Arial"/>
          <w:b/>
          <w:bCs/>
          <w:color w:val="1A2238"/>
          <w:sz w:val="23"/>
          <w:szCs w:val="23"/>
        </w:rPr>
        <w:t xml:space="preserve">3.4 WhatsApp como Canal Complementar</w:t>
      </w:r>
    </w:p>
    <w:p>
      <w:pPr>
        <w:spacing w:after="60" w:before="60"/>
        <w:jc w:val="both"/>
      </w:pPr>
      <w:r>
        <w:rPr>
          <w:rFonts w:ascii="Arial" w:cs="Arial" w:eastAsia="Arial" w:hAnsi="Arial"/>
          <w:color w:val="333333"/>
          <w:sz w:val="21"/>
          <w:szCs w:val="21"/>
        </w:rPr>
        <w:t xml:space="preserve">O WhatsApp merece atenção como canal de feedback para marcas de nicho que atuam com público jovem no Brasil. A plataforma já oferece funcionalidades de atendimento via API (WhatsApp Business API), permitindo automações e mensagens personalizadas. Para a Gen Z brasileira, amplamente presente nessa plataforma, o WhatsApp pode funcionar como ponto de entrada para feedback direto e informal, desde que a comunicação esteja alinhada com o tom conversacional e não institucional esperado.</w:t>
      </w:r>
    </w:p>
    <w:p/>
    <w:p>
      <w:pPr>
        <w:pBdr>
          <w:bottom w:val="single" w:color="C0335A" w:sz="3" w:space="1"/>
        </w:pBdr>
        <w:spacing w:after="80" w:before="280"/>
      </w:pPr>
      <w:r>
        <w:rPr>
          <w:rFonts w:ascii="Arial" w:cs="Arial" w:eastAsia="Arial" w:hAnsi="Arial"/>
          <w:b/>
          <w:bCs/>
          <w:color w:val="C0335A"/>
          <w:sz w:val="26"/>
          <w:szCs w:val="26"/>
        </w:rPr>
        <w:t xml:space="preserve">4. A CENTRALIDADE DA AUTENTICIDADE</w:t>
      </w:r>
    </w:p>
    <w:p/>
    <w:p>
      <w:pPr>
        <w:spacing w:after="60" w:before="200"/>
      </w:pPr>
      <w:r>
        <w:rPr>
          <w:rFonts w:ascii="Arial" w:cs="Arial" w:eastAsia="Arial" w:hAnsi="Arial"/>
          <w:b/>
          <w:bCs/>
          <w:color w:val="1A2238"/>
          <w:sz w:val="23"/>
          <w:szCs w:val="23"/>
        </w:rPr>
        <w:t xml:space="preserve">4.1 Autenticidade como Critério de Escolha</w:t>
      </w:r>
    </w:p>
    <w:p>
      <w:pPr>
        <w:spacing w:after="60" w:before="60"/>
        <w:jc w:val="both"/>
      </w:pPr>
      <w:r>
        <w:rPr>
          <w:rFonts w:ascii="Arial" w:cs="Arial" w:eastAsia="Arial" w:hAnsi="Arial"/>
          <w:color w:val="333333"/>
          <w:sz w:val="21"/>
          <w:szCs w:val="21"/>
        </w:rPr>
        <w:t xml:space="preserve">Um elemento transversal a todos os canais preferidos pela Gen Z é a demanda por autenticidade. Essa geração cresceu exposta a volumes elevados de publicidade digital e desenvolveu mecanismos sofisticados de identificação de conteúdo não genuíno. Marcas que adotam linguagem institucional rígida, respostas automatizadas genéricas ou interações claramente roteirizadas tendem a ser percebidas negativamente.</w:t>
      </w:r>
    </w:p>
    <w:p/>
    <w:p>
      <w:pPr>
        <w:spacing w:after="60" w:before="60"/>
        <w:jc w:val="both"/>
      </w:pPr>
      <w:r>
        <w:rPr>
          <w:rFonts w:ascii="Arial" w:cs="Arial" w:eastAsia="Arial" w:hAnsi="Arial"/>
          <w:color w:val="333333"/>
          <w:sz w:val="21"/>
          <w:szCs w:val="21"/>
        </w:rPr>
        <w:t xml:space="preserve">Estudo qualitativo publicado no MIJRD Journal (2025) descreve os principais desafios no engajamento com a Gen Z como um "digital gap" — lacunas de comunicação decorrentes da preferência dessa geração por trocas digitais informais, visuais e rápidas, além da alta expectativa por autenticidade e responsividade.</w:t>
      </w:r>
    </w:p>
    <w:p/>
    <w:p>
      <w:pPr>
        <w:spacing w:after="60" w:before="200"/>
      </w:pPr>
      <w:r>
        <w:rPr>
          <w:rFonts w:ascii="Arial" w:cs="Arial" w:eastAsia="Arial" w:hAnsi="Arial"/>
          <w:b/>
          <w:bCs/>
          <w:color w:val="1A2238"/>
          <w:sz w:val="23"/>
          <w:szCs w:val="23"/>
        </w:rPr>
        <w:t xml:space="preserve">4.2 O Papel dos Micro-influenciadores</w:t>
      </w:r>
    </w:p>
    <w:p>
      <w:pPr>
        <w:spacing w:after="60" w:before="60"/>
        <w:jc w:val="both"/>
      </w:pPr>
      <w:r>
        <w:rPr>
          <w:rFonts w:ascii="Arial" w:cs="Arial" w:eastAsia="Arial" w:hAnsi="Arial"/>
          <w:color w:val="333333"/>
          <w:sz w:val="21"/>
          <w:szCs w:val="21"/>
        </w:rPr>
        <w:t xml:space="preserve">A relação da Gen Z com influenciadores é matizada. 47% dos jovens de 14 a 28 anos confiam significativamente nas recomendações de influenciadores; mas 47,5% descrevem parcerias pagas como "insinceras" ou "inconvenientes" (Sustainable Brands, 2024). O que o público jovem busca não é o influenciador como figura de autoridade promocional, mas como usuário real e confiável do produto.</w:t>
      </w:r>
    </w:p>
    <w:p/>
    <w:p>
      <w:pPr>
        <w:spacing w:after="60" w:before="60"/>
        <w:jc w:val="both"/>
      </w:pPr>
      <w:r>
        <w:rPr>
          <w:rFonts w:ascii="Arial" w:cs="Arial" w:eastAsia="Arial" w:hAnsi="Arial"/>
          <w:color w:val="333333"/>
          <w:sz w:val="21"/>
          <w:szCs w:val="21"/>
        </w:rPr>
        <w:t xml:space="preserve">Para a Push Matcha, a estratégia de feedback via influenciadores deve priorizar micro-influenciadores com bases engajadas e relacionamento orgânico com o nicho de saudabilidade e bem-estar. A percepção de genuinidade na relação entre o criador de conteúdo e o produto é determinante para a credibilidade da mensagem.</w:t>
      </w:r>
    </w:p>
    <w:p/>
    <w:p>
      <w:pPr>
        <w:pBdr>
          <w:bottom w:val="single" w:color="C0335A" w:sz="3" w:space="1"/>
        </w:pBdr>
        <w:spacing w:after="80" w:before="280"/>
      </w:pPr>
      <w:r>
        <w:rPr>
          <w:rFonts w:ascii="Arial" w:cs="Arial" w:eastAsia="Arial" w:hAnsi="Arial"/>
          <w:b/>
          <w:bCs/>
          <w:color w:val="C0335A"/>
          <w:sz w:val="26"/>
          <w:szCs w:val="26"/>
        </w:rPr>
        <w:t xml:space="preserve">5. COMPARATIVO: CANAIS TRADICIONAIS vs. CANAIS DIGITAIS ORGÂNICOS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80"/>
        <w:gridCol w:w="2680"/>
      </w:tblGrid>
      <w:tr>
        <w:tc>
          <w:tcPr>
            <w:tcW w:type="dxa" w:w="2000"/>
            <w:tcBorders>
              <w:top w:val="single" w:color="CCCCCC" w:sz="1"/>
              <w:left w:val="single" w:color="CCCCCC" w:sz="1"/>
              <w:bottom w:val="single" w:color="CCCCCC" w:sz="1"/>
              <w:right w:val="single" w:color="CCCCCC" w:sz="1"/>
            </w:tcBorders>
            <w:shd w:fill="1A2238" w:val="clear"/>
            <w:tcMar>
              <w:top w:type="dxa" w:w="80"/>
              <w:left w:type="dxa" w:w="100"/>
              <w:bottom w:type="dxa" w:w="80"/>
              <w:right w:type="dxa" w:w="100"/>
            </w:tcMar>
          </w:tcPr>
          <w:p>
            <w:r>
              <w:rPr>
                <w:rFonts w:ascii="Arial" w:cs="Arial" w:eastAsia="Arial" w:hAnsi="Arial"/>
                <w:b/>
                <w:bCs/>
                <w:color w:val="FFFFFF"/>
                <w:sz w:val="19"/>
                <w:szCs w:val="19"/>
              </w:rPr>
              <w:t xml:space="preserve">CRITÉRIO</w:t>
            </w:r>
          </w:p>
        </w:tc>
        <w:tc>
          <w:tcPr>
            <w:tcW w:type="dxa" w:w="3000"/>
            <w:tcBorders>
              <w:top w:val="single" w:color="CCCCCC" w:sz="1"/>
              <w:left w:val="single" w:color="CCCCCC" w:sz="1"/>
              <w:bottom w:val="single" w:color="CCCCCC" w:sz="1"/>
              <w:right w:val="single" w:color="CCCCCC" w:sz="1"/>
            </w:tcBorders>
            <w:shd w:fill="1A2238" w:val="clear"/>
            <w:tcMar>
              <w:top w:type="dxa" w:w="80"/>
              <w:left w:type="dxa" w:w="100"/>
              <w:bottom w:type="dxa" w:w="80"/>
              <w:right w:type="dxa" w:w="100"/>
            </w:tcMar>
          </w:tcPr>
          <w:p>
            <w:r>
              <w:rPr>
                <w:rFonts w:ascii="Arial" w:cs="Arial" w:eastAsia="Arial" w:hAnsi="Arial"/>
                <w:b/>
                <w:bCs/>
                <w:color w:val="FFFFFF"/>
                <w:sz w:val="19"/>
                <w:szCs w:val="19"/>
              </w:rPr>
              <w:t xml:space="preserve">SAC / E-MAIL / FORMULÁRIO</w:t>
            </w:r>
          </w:p>
        </w:tc>
        <w:tc>
          <w:tcPr>
            <w:tcW w:type="dxa" w:w="1680"/>
            <w:tcBorders>
              <w:top w:val="single" w:color="CCCCCC" w:sz="1"/>
              <w:left w:val="single" w:color="CCCCCC" w:sz="1"/>
              <w:bottom w:val="single" w:color="CCCCCC" w:sz="1"/>
              <w:right w:val="single" w:color="CCCCCC" w:sz="1"/>
            </w:tcBorders>
            <w:shd w:fill="1A2238" w:val="clear"/>
            <w:tcMar>
              <w:top w:type="dxa" w:w="80"/>
              <w:left w:type="dxa" w:w="100"/>
              <w:bottom w:type="dxa" w:w="80"/>
              <w:right w:type="dxa" w:w="100"/>
            </w:tcMar>
          </w:tcPr>
          <w:p>
            <w:r>
              <w:rPr>
                <w:rFonts w:ascii="Arial" w:cs="Arial" w:eastAsia="Arial" w:hAnsi="Arial"/>
                <w:b/>
                <w:bCs/>
                <w:color w:val="FFFFFF"/>
                <w:sz w:val="19"/>
                <w:szCs w:val="19"/>
              </w:rPr>
              <w:t xml:space="preserve">INSTAGRAM / TIKTOK / UGC</w:t>
            </w:r>
          </w:p>
        </w:tc>
        <w:tc>
          <w:tcPr>
            <w:tcW w:type="dxa" w:w="2680"/>
            <w:tcBorders>
              <w:top w:val="single" w:color="CCCCCC" w:sz="1"/>
              <w:left w:val="single" w:color="CCCCCC" w:sz="1"/>
              <w:bottom w:val="single" w:color="CCCCCC" w:sz="1"/>
              <w:right w:val="single" w:color="CCCCCC" w:sz="1"/>
            </w:tcBorders>
            <w:shd w:fill="1A2238" w:val="clear"/>
            <w:tcMar>
              <w:top w:type="dxa" w:w="80"/>
              <w:left w:type="dxa" w:w="100"/>
              <w:bottom w:type="dxa" w:w="80"/>
              <w:right w:type="dxa" w:w="100"/>
            </w:tcMar>
          </w:tcPr>
          <w:p>
            <w:r>
              <w:rPr>
                <w:rFonts w:ascii="Arial" w:cs="Arial" w:eastAsia="Arial" w:hAnsi="Arial"/>
                <w:b/>
                <w:bCs/>
                <w:color w:val="FFFFFF"/>
                <w:sz w:val="19"/>
                <w:szCs w:val="19"/>
              </w:rPr>
              <w:t xml:space="preserve">RECOMENDAÇÃO PUSH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bCs/>
                <w:color w:val="333333"/>
                <w:sz w:val="19"/>
                <w:szCs w:val="19"/>
              </w:rPr>
              <w:t xml:space="preserve">Velocidade de resposta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Horas a dias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Segundos a minutos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Priorizar canais instantâneos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bCs/>
                <w:color w:val="333333"/>
                <w:sz w:val="19"/>
                <w:szCs w:val="19"/>
              </w:rPr>
              <w:t xml:space="preserve">Autenticidade percebida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Baixa (institucional)</w:t>
            </w:r>
          </w:p>
        </w:tc>
        <w:tc>
          <w:tcPr>
            <w:tcW w:type="dxa" w:w="1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Alta (orgânico, visual)</w:t>
            </w:r>
          </w:p>
        </w:tc>
        <w:tc>
          <w:tcPr>
            <w:tcW w:type="dxa" w:w="2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Investir em UGC e conteúdo nativo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bCs/>
                <w:color w:val="333333"/>
                <w:sz w:val="19"/>
                <w:szCs w:val="19"/>
              </w:rPr>
              <w:t xml:space="preserve">Alcance do não-consumidor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Quase nulo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Alto (feeds algorítmicos)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Usar redes para capturar quem não comprou</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bCs/>
                <w:color w:val="333333"/>
                <w:sz w:val="19"/>
                <w:szCs w:val="19"/>
              </w:rPr>
              <w:t xml:space="preserve">Custo de implementação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Alto (estrutura de atendimento)</w:t>
            </w:r>
          </w:p>
        </w:tc>
        <w:tc>
          <w:tcPr>
            <w:tcW w:type="dxa" w:w="1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Baixo a médio</w:t>
            </w:r>
          </w:p>
        </w:tc>
        <w:tc>
          <w:tcPr>
            <w:tcW w:type="dxa" w:w="2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Redirecionar investimento para digital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bCs/>
                <w:color w:val="333333"/>
                <w:sz w:val="19"/>
                <w:szCs w:val="19"/>
              </w:rPr>
              <w:t xml:space="preserve">Dado gerado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Estruturado, mas enviesado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Não-estruturado, mas real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Monitoramento ativo de menções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bCs/>
                <w:color w:val="333333"/>
                <w:sz w:val="19"/>
                <w:szCs w:val="19"/>
              </w:rPr>
              <w:t xml:space="preserve">Adequação à Gen Z</w:t>
            </w:r>
          </w:p>
        </w:tc>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Baixíssima</w:t>
            </w:r>
          </w:p>
        </w:tc>
        <w:tc>
          <w:tcPr>
            <w:tcW w:type="dxa" w:w="1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Alta</w:t>
            </w:r>
          </w:p>
        </w:tc>
        <w:tc>
          <w:tcPr>
            <w:tcW w:type="dxa" w:w="2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30" w:before="30"/>
            </w:pPr>
            <w:r>
              <w:rPr>
                <w:rFonts w:ascii="Arial" w:cs="Arial" w:eastAsia="Arial" w:hAnsi="Arial"/>
                <w:b w:val="false"/>
                <w:bCs w:val="false"/>
                <w:color w:val="333333"/>
                <w:sz w:val="19"/>
                <w:szCs w:val="19"/>
              </w:rPr>
              <w:t xml:space="preserve">Migração gradual dos canais tradicionais</w:t>
            </w:r>
          </w:p>
        </w:tc>
      </w:tr>
    </w:tbl>
    <w:p/>
    <w:p>
      <w:pPr>
        <w:pBdr>
          <w:bottom w:val="single" w:color="C0335A" w:sz="3" w:space="1"/>
        </w:pBdr>
        <w:spacing w:after="80" w:before="280"/>
      </w:pPr>
      <w:r>
        <w:rPr>
          <w:rFonts w:ascii="Arial" w:cs="Arial" w:eastAsia="Arial" w:hAnsi="Arial"/>
          <w:b/>
          <w:bCs/>
          <w:color w:val="C0335A"/>
          <w:sz w:val="26"/>
          <w:szCs w:val="26"/>
        </w:rPr>
        <w:t xml:space="preserve">6. RECOMENDAÇÕES ESTRATÉGICAS DE CANAIS PARA A PUSH MATCHA</w:t>
      </w:r>
    </w:p>
    <w:p/>
    <w:p>
      <w:pPr>
        <w:pStyle w:val="ListParagraph"/>
        <w:numPr>
          <w:ilvl w:val="0"/>
          <w:numId w:val="2"/>
        </w:numPr>
        <w:spacing w:after="40" w:before="40"/>
      </w:pPr>
      <w:r>
        <w:rPr>
          <w:rFonts w:ascii="Arial" w:cs="Arial" w:eastAsia="Arial" w:hAnsi="Arial"/>
          <w:color w:val="333333"/>
          <w:sz w:val="21"/>
          <w:szCs w:val="21"/>
        </w:rPr>
        <w:t xml:space="preserve">A — Ativação de UGC via Instagram e TikTok: dinâmicas de marcação do perfil da empresa em publicações, sorteios vinculados a conteúdo gerado pelo usuário, compartilhamento de UGC nos canais oficiais e criação de hashtag própria.</w:t>
      </w:r>
    </w:p>
    <w:p>
      <w:pPr>
        <w:pStyle w:val="ListParagraph"/>
        <w:numPr>
          <w:ilvl w:val="0"/>
          <w:numId w:val="2"/>
        </w:numPr>
        <w:spacing w:after="40" w:before="40"/>
      </w:pPr>
      <w:r>
        <w:rPr>
          <w:rFonts w:ascii="Arial" w:cs="Arial" w:eastAsia="Arial" w:hAnsi="Arial"/>
          <w:color w:val="333333"/>
          <w:sz w:val="21"/>
          <w:szCs w:val="21"/>
        </w:rPr>
        <w:t xml:space="preserve">B — Monitoramento Ativo de Menções: ferramentas como Mention, Brand24 ou o recurso nativo do Instagram para acompanhar o que está sendo dito sobre a marca. O feedback não estruturado que circula espontaneamente é tão ou mais valioso do que as respostas de formulários.</w:t>
      </w:r>
    </w:p>
    <w:p>
      <w:pPr>
        <w:pStyle w:val="ListParagraph"/>
        <w:numPr>
          <w:ilvl w:val="0"/>
          <w:numId w:val="2"/>
        </w:numPr>
        <w:spacing w:after="40" w:before="40"/>
      </w:pPr>
      <w:r>
        <w:rPr>
          <w:rFonts w:ascii="Arial" w:cs="Arial" w:eastAsia="Arial" w:hAnsi="Arial"/>
          <w:color w:val="333333"/>
          <w:sz w:val="21"/>
          <w:szCs w:val="21"/>
        </w:rPr>
        <w:t xml:space="preserve">C — Respostas Rápidas com Linguagem Nativa: estabelecer protocolo de respostas rápido, informal e coerente com a linguagem das plataformas, evitando respostas genéricas ou excessivamente corporativas.</w:t>
      </w:r>
    </w:p>
    <w:p>
      <w:pPr>
        <w:pStyle w:val="ListParagraph"/>
        <w:numPr>
          <w:ilvl w:val="0"/>
          <w:numId w:val="2"/>
        </w:numPr>
        <w:spacing w:after="40" w:before="40"/>
      </w:pPr>
      <w:r>
        <w:rPr>
          <w:rFonts w:ascii="Arial" w:cs="Arial" w:eastAsia="Arial" w:hAnsi="Arial"/>
          <w:color w:val="333333"/>
          <w:sz w:val="21"/>
          <w:szCs w:val="21"/>
        </w:rPr>
        <w:t xml:space="preserve">D — Parcerias com Micro-influenciadores do Nicho de Saudabilidade: criadores que já consomem e falam sobre esse estilo de vida representam um canal de feedback qualificado e com alta perceptibilidade para a Gen Z.</w:t>
      </w:r>
    </w:p>
    <w:p>
      <w:pPr>
        <w:pStyle w:val="ListParagraph"/>
        <w:numPr>
          <w:ilvl w:val="0"/>
          <w:numId w:val="2"/>
        </w:numPr>
        <w:spacing w:after="40" w:before="40"/>
      </w:pPr>
      <w:r>
        <w:rPr>
          <w:rFonts w:ascii="Arial" w:cs="Arial" w:eastAsia="Arial" w:hAnsi="Arial"/>
          <w:color w:val="333333"/>
          <w:sz w:val="21"/>
          <w:szCs w:val="21"/>
        </w:rPr>
        <w:t xml:space="preserve">E — Redução Gradual dos Canais Tradicionais Defasados: mapear a proporção de feedbacks recebidos por cada canal e realocar esforços para os canais digitais orgânicos que apresentam maior aderência ao público jovem.</w:t>
      </w:r>
    </w:p>
    <w:p>
      <w:r>
        <w:br w:type="page"/>
      </w:r>
    </w:p>
    <w:p>
      <w:pPr>
        <w:pBdr>
          <w:bottom w:val="single" w:color="C0335A" w:sz="6" w:space="2"/>
        </w:pBdr>
        <w:shd w:fill="1A2238" w:val="clear"/>
        <w:spacing w:after="120" w:before="360"/>
        <w:ind w:left="200" w:right="200"/>
      </w:pPr>
      <w:r>
        <w:rPr>
          <w:rFonts w:ascii="Arial" w:cs="Arial" w:eastAsia="Arial" w:hAnsi="Arial"/>
          <w:b/>
          <w:bCs/>
          <w:color w:val="FFFFFF"/>
          <w:sz w:val="34"/>
          <w:szCs w:val="34"/>
        </w:rPr>
        <w:t xml:space="preserve">PARTE IV — MAPEAMENTO DE HÁBITOS EXTRACATEGORIA DA GERAÇÃO Z</w:t>
      </w:r>
    </w:p>
    <w:p/>
    <w:p>
      <w:pPr>
        <w:spacing w:after="60" w:before="60"/>
        <w:jc w:val="both"/>
      </w:pPr>
      <w:r>
        <w:rPr>
          <w:rFonts w:ascii="Arial" w:cs="Arial" w:eastAsia="Arial" w:hAnsi="Arial"/>
          <w:color w:val="333333"/>
          <w:sz w:val="21"/>
          <w:szCs w:val="21"/>
        </w:rPr>
        <w:t xml:space="preserve">Subtópico 2.4 · Autor: Guilherme Villares · FGV 2026.1</w:t>
      </w:r>
    </w:p>
    <w:p/>
    <w:p>
      <w:pPr>
        <w:spacing w:after="60" w:before="60"/>
        <w:jc w:val="both"/>
      </w:pPr>
      <w:r>
        <w:rPr>
          <w:rFonts w:ascii="Arial" w:cs="Arial" w:eastAsia="Arial" w:hAnsi="Arial"/>
          <w:color w:val="333333"/>
          <w:sz w:val="21"/>
          <w:szCs w:val="21"/>
        </w:rPr>
        <w:t xml:space="preserve">Este mapeamento cobre comportamentos, interesses e tendências predominantes da Geração Z para além do nicho de saudabilidade e wellness, com o objetivo de identificar novas oportunidades de conexão para a Push Matcha. O mapeamento serve como insumo direto para o Consumidor Sintético — que precisa entender não apenas quem compra matcha, mas quem essa pessoa É fora do contexto de consumo de bebidas.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35A" w:sz="4"/>
              <w:left w:val="single" w:color="C0335A" w:sz="12"/>
              <w:bottom w:val="single" w:color="C0335A" w:sz="4"/>
              <w:right w:val="single" w:color="CCCCCC" w:sz="1"/>
            </w:tcBorders>
            <w:shd w:fill="FFF0F4" w:val="clear"/>
            <w:tcMar>
              <w:top w:type="dxa" w:w="100"/>
              <w:left w:type="dxa" w:w="200"/>
              <w:bottom w:type="dxa" w:w="100"/>
              <w:right w:type="dxa" w:w="160"/>
            </w:tcMar>
          </w:tcPr>
          <w:p>
            <w:pPr>
              <w:jc w:val="both"/>
            </w:pPr>
            <w:r>
              <w:rPr>
                <w:rFonts w:ascii="Arial" w:cs="Arial" w:eastAsia="Arial" w:hAnsi="Arial"/>
                <w:i/>
                <w:iCs/>
                <w:color w:val="1A2238"/>
                <w:sz w:val="20"/>
                <w:szCs w:val="20"/>
              </w:rPr>
              <w:t xml:space="preserve">"Para a Gen Z, cada compra é uma declaração de identidade. O matcha Push não compete apenas com café — compete com tudo que disputa o espaço de 'pequeno luxo diário com propósito' na vida do jovem."</w:t>
            </w:r>
          </w:p>
        </w:tc>
      </w:tr>
    </w:tbl>
    <w:p/>
    <w:p>
      <w:pPr>
        <w:pBdr>
          <w:bottom w:val="single" w:color="C0335A" w:sz="3" w:space="1"/>
        </w:pBdr>
        <w:spacing w:after="80" w:before="280"/>
      </w:pPr>
      <w:r>
        <w:rPr>
          <w:rFonts w:ascii="Arial" w:cs="Arial" w:eastAsia="Arial" w:hAnsi="Arial"/>
          <w:b/>
          <w:bCs/>
          <w:color w:val="C0335A"/>
          <w:sz w:val="26"/>
          <w:szCs w:val="26"/>
        </w:rPr>
        <w:t xml:space="preserve">TENDÊNCIA 1 — ANTI-BRAIN ROT E A RECONQUISTA DA ATENÇÃO</w:t>
      </w:r>
    </w:p>
    <w:p/>
    <w:p>
      <w:pPr>
        <w:spacing w:after="60" w:before="60"/>
        <w:jc w:val="both"/>
      </w:pPr>
      <w:r>
        <w:rPr>
          <w:rFonts w:ascii="Arial" w:cs="Arial" w:eastAsia="Arial" w:hAnsi="Arial"/>
          <w:color w:val="333333"/>
          <w:sz w:val="21"/>
          <w:szCs w:val="21"/>
        </w:rPr>
        <w:t xml:space="preserve">"Brain rot" foi eleita Palavra do Ano pela Oxford Dictionary em 2024. Em 2025, a APA (American Psychological Association) publicou meta-análise de 71 estudos confirmando que o consumo excessivo de vídeos curtos está diretamente associado a declínio cognitivo — memória reduzida, menor recall e pensamento crítico enfraquecido.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pPr>
              <w:jc w:val="center"/>
            </w:pPr>
            <w:r>
              <w:rPr>
                <w:rFonts w:ascii="Arial" w:cs="Arial" w:eastAsia="Arial" w:hAnsi="Arial"/>
                <w:b/>
                <w:bCs/>
                <w:color w:val="1A2238"/>
                <w:sz w:val="20"/>
                <w:szCs w:val="20"/>
              </w:rPr>
              <w:t xml:space="preserve">6+ horas/dia</w:t>
            </w:r>
          </w:p>
        </w:tc>
        <w:tc>
          <w:tcPr>
            <w:tcW w:type="dxa" w:w="2340"/>
            <w:tcBorders>
              <w:top w:val="single" w:color="CCCCCC" w:sz="1"/>
              <w:left w:val="single" w:color="CCCCCC" w:sz="1"/>
              <w:bottom w:val="single" w:color="CCCCCC" w:sz="1"/>
              <w:right w:val="single" w:color="CCCCCC" w:sz="1"/>
            </w:tcBorders>
            <w:shd w:fill="F0F5FB" w:val="clear"/>
            <w:tcMar>
              <w:top w:type="dxa" w:w="100"/>
              <w:left w:type="dxa" w:w="160"/>
              <w:bottom w:type="dxa" w:w="100"/>
              <w:right w:type="dxa" w:w="160"/>
            </w:tcMar>
          </w:tcPr>
          <w:p>
            <w:pPr>
              <w:jc w:val="center"/>
            </w:pPr>
            <w:r>
              <w:rPr>
                <w:rFonts w:ascii="Arial" w:cs="Arial" w:eastAsia="Arial" w:hAnsi="Arial"/>
                <w:b/>
                <w:bCs/>
                <w:color w:val="1A2238"/>
                <w:sz w:val="20"/>
                <w:szCs w:val="20"/>
              </w:rPr>
              <w:t xml:space="preserve">2–4 pontos</w:t>
            </w:r>
          </w:p>
        </w:tc>
        <w:tc>
          <w:tcPr>
            <w:tcW w:type="dxa" w:w="234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pPr>
              <w:jc w:val="center"/>
            </w:pPr>
            <w:r>
              <w:rPr>
                <w:rFonts w:ascii="Arial" w:cs="Arial" w:eastAsia="Arial" w:hAnsi="Arial"/>
                <w:b/>
                <w:bCs/>
                <w:color w:val="1A2238"/>
                <w:sz w:val="20"/>
                <w:szCs w:val="20"/>
              </w:rPr>
              <w:t xml:space="preserve">71 estudos</w:t>
            </w:r>
          </w:p>
        </w:tc>
        <w:tc>
          <w:tcPr>
            <w:tcW w:type="dxa" w:w="2340"/>
            <w:tcBorders>
              <w:top w:val="single" w:color="CCCCCC" w:sz="1"/>
              <w:left w:val="single" w:color="CCCCCC" w:sz="1"/>
              <w:bottom w:val="single" w:color="CCCCCC" w:sz="1"/>
              <w:right w:val="single" w:color="CCCCCC" w:sz="1"/>
            </w:tcBorders>
            <w:shd w:fill="F0F5FB" w:val="clear"/>
            <w:tcMar>
              <w:top w:type="dxa" w:w="100"/>
              <w:left w:type="dxa" w:w="160"/>
              <w:bottom w:type="dxa" w:w="100"/>
              <w:right w:type="dxa" w:w="160"/>
            </w:tcMar>
          </w:tcPr>
          <w:p>
            <w:pPr>
              <w:jc w:val="center"/>
            </w:pPr>
            <w:r>
              <w:rPr>
                <w:rFonts w:ascii="Arial" w:cs="Arial" w:eastAsia="Arial" w:hAnsi="Arial"/>
                <w:b/>
                <w:bCs/>
                <w:color w:val="1A2238"/>
                <w:sz w:val="20"/>
                <w:szCs w:val="20"/>
              </w:rPr>
              <w:t xml:space="preserve">90.000+ vídeos</w:t>
            </w:r>
          </w:p>
        </w:tc>
      </w:tr>
      <w:tr>
        <w:tc>
          <w:tcPr>
            <w:tcW w:type="dxa" w:w="234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pPr>
              <w:jc w:val="center"/>
            </w:pPr>
            <w:r>
              <w:rPr>
                <w:rFonts w:ascii="Arial" w:cs="Arial" w:eastAsia="Arial" w:hAnsi="Arial"/>
                <w:b w:val="false"/>
                <w:bCs w:val="false"/>
                <w:color w:val="1A2238"/>
                <w:sz w:val="20"/>
                <w:szCs w:val="20"/>
              </w:rPr>
              <w:t xml:space="preserve">Tempo médio de Gen Z em redes sociais</w:t>
            </w:r>
          </w:p>
        </w:tc>
        <w:tc>
          <w:tcPr>
            <w:tcW w:type="dxa" w:w="2340"/>
            <w:tcBorders>
              <w:top w:val="single" w:color="CCCCCC" w:sz="1"/>
              <w:left w:val="single" w:color="CCCCCC" w:sz="1"/>
              <w:bottom w:val="single" w:color="CCCCCC" w:sz="1"/>
              <w:right w:val="single" w:color="CCCCCC" w:sz="1"/>
            </w:tcBorders>
            <w:shd w:fill="F0F5FB" w:val="clear"/>
            <w:tcMar>
              <w:top w:type="dxa" w:w="100"/>
              <w:left w:type="dxa" w:w="160"/>
              <w:bottom w:type="dxa" w:w="100"/>
              <w:right w:type="dxa" w:w="160"/>
            </w:tcMar>
          </w:tcPr>
          <w:p>
            <w:pPr>
              <w:jc w:val="center"/>
            </w:pPr>
            <w:r>
              <w:rPr>
                <w:rFonts w:ascii="Arial" w:cs="Arial" w:eastAsia="Arial" w:hAnsi="Arial"/>
                <w:b w:val="false"/>
                <w:bCs w:val="false"/>
                <w:color w:val="1A2238"/>
                <w:sz w:val="20"/>
                <w:szCs w:val="20"/>
              </w:rPr>
              <w:t xml:space="preserve">Declínio de QI em testes de inteligência fluida (2023–2025)</w:t>
            </w:r>
          </w:p>
        </w:tc>
        <w:tc>
          <w:tcPr>
            <w:tcW w:type="dxa" w:w="234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pPr>
              <w:jc w:val="center"/>
            </w:pPr>
            <w:r>
              <w:rPr>
                <w:rFonts w:ascii="Arial" w:cs="Arial" w:eastAsia="Arial" w:hAnsi="Arial"/>
                <w:b w:val="false"/>
                <w:bCs w:val="false"/>
                <w:color w:val="1A2238"/>
                <w:sz w:val="20"/>
                <w:szCs w:val="20"/>
              </w:rPr>
              <w:t xml:space="preserve">Meta-análise APA confirmando danos cognitivos</w:t>
            </w:r>
          </w:p>
        </w:tc>
        <w:tc>
          <w:tcPr>
            <w:tcW w:type="dxa" w:w="2340"/>
            <w:tcBorders>
              <w:top w:val="single" w:color="CCCCCC" w:sz="1"/>
              <w:left w:val="single" w:color="CCCCCC" w:sz="1"/>
              <w:bottom w:val="single" w:color="CCCCCC" w:sz="1"/>
              <w:right w:val="single" w:color="CCCCCC" w:sz="1"/>
            </w:tcBorders>
            <w:shd w:fill="F0F5FB" w:val="clear"/>
            <w:tcMar>
              <w:top w:type="dxa" w:w="100"/>
              <w:left w:type="dxa" w:w="160"/>
              <w:bottom w:type="dxa" w:w="100"/>
              <w:right w:type="dxa" w:w="160"/>
            </w:tcMar>
          </w:tcPr>
          <w:p>
            <w:pPr>
              <w:jc w:val="center"/>
            </w:pPr>
            <w:r>
              <w:rPr>
                <w:rFonts w:ascii="Arial" w:cs="Arial" w:eastAsia="Arial" w:hAnsi="Arial"/>
                <w:b w:val="false"/>
                <w:bCs w:val="false"/>
                <w:color w:val="1A2238"/>
                <w:sz w:val="20"/>
                <w:szCs w:val="20"/>
              </w:rPr>
              <w:t xml:space="preserve">Hashtag #curriculum no TikTok</w:t>
            </w:r>
          </w:p>
        </w:tc>
      </w:tr>
    </w:tbl>
    <w:p/>
    <w:p>
      <w:pPr>
        <w:spacing w:after="60" w:before="60"/>
        <w:jc w:val="both"/>
      </w:pPr>
      <w:r>
        <w:rPr>
          <w:rFonts w:ascii="Arial" w:cs="Arial" w:eastAsia="Arial" w:hAnsi="Arial"/>
          <w:color w:val="333333"/>
          <w:sz w:val="21"/>
          <w:szCs w:val="21"/>
        </w:rPr>
        <w:t xml:space="preserve">O Movimento de Resistência — nascido na mesma plataforma: paradoxalmente, a resistência ao brain rot nasceu no próprio TikTok. A criadora Elizabeth Jean criou um "currículo mensal" de atividades offline e a hashtag #curriculum explodiu para mais de 90.000 vídeos. Outros criadores seguiram: "dopamine menus" de atividades offline, rituais phone-free, noites analógicas.</w:t>
      </w:r>
    </w:p>
    <w:p/>
    <w:p>
      <w:pPr>
        <w:spacing w:after="60" w:before="60"/>
        <w:jc w:val="both"/>
      </w:pPr>
      <w:r>
        <w:rPr>
          <w:rFonts w:ascii="Arial" w:cs="Arial" w:eastAsia="Arial" w:hAnsi="Arial"/>
          <w:color w:val="333333"/>
          <w:sz w:val="21"/>
          <w:szCs w:val="21"/>
        </w:rPr>
        <w:t xml:space="preserve">Manifestações práticas do movimento anti-brain rot:</w:t>
      </w:r>
    </w:p>
    <w:p>
      <w:pPr>
        <w:pStyle w:val="ListParagraph"/>
        <w:numPr>
          <w:ilvl w:val="0"/>
          <w:numId w:val="2"/>
        </w:numPr>
        <w:spacing w:after="40" w:before="40"/>
      </w:pPr>
      <w:r>
        <w:rPr>
          <w:rFonts w:ascii="Arial" w:cs="Arial" w:eastAsia="Arial" w:hAnsi="Arial"/>
          <w:color w:val="333333"/>
          <w:sz w:val="21"/>
          <w:szCs w:val="21"/>
        </w:rPr>
        <w:t xml:space="preserve">Dopamine menus: listas pessoais de atividades offline por nível de esforço (fácil: caminhada / médio: cozinhar / difícil: ler um livro inteiro).</w:t>
      </w:r>
    </w:p>
    <w:p>
      <w:pPr>
        <w:pStyle w:val="ListParagraph"/>
        <w:numPr>
          <w:ilvl w:val="0"/>
          <w:numId w:val="2"/>
        </w:numPr>
        <w:spacing w:after="40" w:before="40"/>
      </w:pPr>
      <w:r>
        <w:rPr>
          <w:rFonts w:ascii="Arial" w:cs="Arial" w:eastAsia="Arial" w:hAnsi="Arial"/>
          <w:color w:val="333333"/>
          <w:sz w:val="21"/>
          <w:szCs w:val="21"/>
        </w:rPr>
        <w:t xml:space="preserve">Rituais analógicos: journaling com caneta, café da manhã sem celular, walks sem música.</w:t>
      </w:r>
    </w:p>
    <w:p>
      <w:pPr>
        <w:pStyle w:val="ListParagraph"/>
        <w:numPr>
          <w:ilvl w:val="0"/>
          <w:numId w:val="2"/>
        </w:numPr>
        <w:spacing w:after="40" w:before="40"/>
      </w:pPr>
      <w:r>
        <w:rPr>
          <w:rFonts w:ascii="Arial" w:cs="Arial" w:eastAsia="Arial" w:hAnsi="Arial"/>
          <w:color w:val="333333"/>
          <w:sz w:val="21"/>
          <w:szCs w:val="21"/>
        </w:rPr>
        <w:t xml:space="preserve">Cozy study livestreams: milhões de jovens assistem a sessões de 2–4h no YouTube para se manter focados.</w:t>
      </w:r>
    </w:p>
    <w:p>
      <w:pPr>
        <w:pStyle w:val="ListParagraph"/>
        <w:numPr>
          <w:ilvl w:val="0"/>
          <w:numId w:val="2"/>
        </w:numPr>
        <w:spacing w:after="40" w:before="40"/>
      </w:pPr>
      <w:r>
        <w:rPr>
          <w:rFonts w:ascii="Arial" w:cs="Arial" w:eastAsia="Arial" w:hAnsi="Arial"/>
          <w:color w:val="333333"/>
          <w:sz w:val="21"/>
          <w:szCs w:val="21"/>
        </w:rPr>
        <w:t xml:space="preserve">#Curriculum: curadoria mensal de aprendizados não-digitais como contra-narrativa ao scroll infinito.</w:t>
      </w:r>
    </w:p>
    <w:p>
      <w:pPr>
        <w:pStyle w:val="ListParagraph"/>
        <w:numPr>
          <w:ilvl w:val="0"/>
          <w:numId w:val="2"/>
        </w:numPr>
        <w:spacing w:after="40" w:before="40"/>
      </w:pPr>
      <w:r>
        <w:rPr>
          <w:rFonts w:ascii="Arial" w:cs="Arial" w:eastAsia="Arial" w:hAnsi="Arial"/>
          <w:color w:val="333333"/>
          <w:sz w:val="21"/>
          <w:szCs w:val="21"/>
        </w:rPr>
        <w:t xml:space="preserve">Rawdogging boredom: trend de sentar em silêncio por períodos longos para "resetar" o sistema de recompensa do cérebro.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35A" w:sz="4"/>
              <w:left w:val="single" w:color="C0335A" w:sz="12"/>
              <w:bottom w:val="single" w:color="C0335A" w:sz="4"/>
              <w:right w:val="single" w:color="CCCCCC" w:sz="1"/>
            </w:tcBorders>
            <w:shd w:fill="FFF0F4" w:val="clear"/>
            <w:tcMar>
              <w:top w:type="dxa" w:w="100"/>
              <w:left w:type="dxa" w:w="200"/>
              <w:bottom w:type="dxa" w:w="100"/>
              <w:right w:type="dxa" w:w="160"/>
            </w:tcMar>
          </w:tcPr>
          <w:p>
            <w:pPr>
              <w:jc w:val="both"/>
            </w:pPr>
            <w:r>
              <w:rPr>
                <w:rFonts w:ascii="Arial" w:cs="Arial" w:eastAsia="Arial" w:hAnsi="Arial"/>
                <w:i/>
                <w:iCs/>
                <w:color w:val="1A2238"/>
                <w:sz w:val="20"/>
                <w:szCs w:val="20"/>
              </w:rPr>
              <w:t xml:space="preserve">INSIGHT PARA A PUSH: Esta é talvez a maior oportunidade extracategoria. O matcha é literalmente uma bebida anti-brain-rot: L-teanina promove foco calmo, cafeína gradual sustenta atenção por horas, o ritual de preparo é um ato analógico que desacelera. A Push pode se posicionar como "a bebida do seu dopamine menu" — o ritual matinal que substitui o scroll das 7h da manhã. PARÂMETRO DO CONSUMIDOR SINTÉTICO: deve reagir positivamente a mensagens que conectem matcha a foco, atenção prolongada e resistência ao scroll.</w:t>
            </w:r>
          </w:p>
        </w:tc>
      </w:tr>
    </w:tbl>
    <w:p/>
    <w:p>
      <w:pPr>
        <w:pBdr>
          <w:bottom w:val="single" w:color="C0335A" w:sz="3" w:space="1"/>
        </w:pBdr>
        <w:spacing w:after="80" w:before="280"/>
      </w:pPr>
      <w:r>
        <w:rPr>
          <w:rFonts w:ascii="Arial" w:cs="Arial" w:eastAsia="Arial" w:hAnsi="Arial"/>
          <w:b/>
          <w:bCs/>
          <w:color w:val="C0335A"/>
          <w:sz w:val="26"/>
          <w:szCs w:val="26"/>
        </w:rPr>
        <w:t xml:space="preserve">TENDÊNCIA 2 — SOBER CURIOUS: A GERAÇÃO QUE BEBE MENOS</w:t>
      </w:r>
    </w:p>
    <w:p/>
    <w:p>
      <w:pPr>
        <w:spacing w:after="60" w:before="60"/>
        <w:jc w:val="both"/>
      </w:pPr>
      <w:r>
        <w:rPr>
          <w:rFonts w:ascii="Arial" w:cs="Arial" w:eastAsia="Arial" w:hAnsi="Arial"/>
          <w:color w:val="333333"/>
          <w:sz w:val="21"/>
          <w:szCs w:val="21"/>
        </w:rPr>
        <w:t xml:space="preserve">A Gen Z está redefinindo a relação com o álcool de forma estrutural — documentada por múltiplas pesquisas independentes ao longo de 3 anos consecutivos: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pPr>
              <w:jc w:val="center"/>
            </w:pPr>
            <w:r>
              <w:rPr>
                <w:rFonts w:ascii="Arial" w:cs="Arial" w:eastAsia="Arial" w:hAnsi="Arial"/>
                <w:b/>
                <w:bCs/>
                <w:color w:val="1A2238"/>
                <w:sz w:val="20"/>
                <w:szCs w:val="20"/>
              </w:rPr>
              <w:t xml:space="preserve">65%</w:t>
            </w:r>
          </w:p>
        </w:tc>
        <w:tc>
          <w:tcPr>
            <w:tcW w:type="dxa" w:w="3120"/>
            <w:tcBorders>
              <w:top w:val="single" w:color="CCCCCC" w:sz="1"/>
              <w:left w:val="single" w:color="CCCCCC" w:sz="1"/>
              <w:bottom w:val="single" w:color="CCCCCC" w:sz="1"/>
              <w:right w:val="single" w:color="CCCCCC" w:sz="1"/>
            </w:tcBorders>
            <w:shd w:fill="F0F5FB" w:val="clear"/>
            <w:tcMar>
              <w:top w:type="dxa" w:w="100"/>
              <w:left w:type="dxa" w:w="160"/>
              <w:bottom w:type="dxa" w:w="100"/>
              <w:right w:type="dxa" w:w="160"/>
            </w:tcMar>
          </w:tcPr>
          <w:p>
            <w:pPr>
              <w:jc w:val="center"/>
            </w:pPr>
            <w:r>
              <w:rPr>
                <w:rFonts w:ascii="Arial" w:cs="Arial" w:eastAsia="Arial" w:hAnsi="Arial"/>
                <w:b/>
                <w:bCs/>
                <w:color w:val="1A2238"/>
                <w:sz w:val="20"/>
                <w:szCs w:val="20"/>
              </w:rPr>
              <w:t xml:space="preserve">39%</w:t>
            </w:r>
          </w:p>
        </w:tc>
        <w:tc>
          <w:tcPr>
            <w:tcW w:type="dxa" w:w="312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pPr>
              <w:jc w:val="center"/>
            </w:pPr>
            <w:r>
              <w:rPr>
                <w:rFonts w:ascii="Arial" w:cs="Arial" w:eastAsia="Arial" w:hAnsi="Arial"/>
                <w:b/>
                <w:bCs/>
                <w:color w:val="1A2238"/>
                <w:sz w:val="20"/>
                <w:szCs w:val="20"/>
              </w:rPr>
              <w:t xml:space="preserve">52%</w:t>
            </w:r>
          </w:p>
        </w:tc>
      </w:tr>
      <w:tr>
        <w:tc>
          <w:tcPr>
            <w:tcW w:type="dxa" w:w="312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pPr>
              <w:jc w:val="center"/>
            </w:pPr>
            <w:r>
              <w:rPr>
                <w:rFonts w:ascii="Arial" w:cs="Arial" w:eastAsia="Arial" w:hAnsi="Arial"/>
                <w:b w:val="false"/>
                <w:bCs w:val="false"/>
                <w:color w:val="1A2238"/>
                <w:sz w:val="20"/>
                <w:szCs w:val="20"/>
              </w:rPr>
              <w:t xml:space="preserve">da Gen Z planeja beber menos em 2025 (NCSolutions)</w:t>
            </w:r>
          </w:p>
        </w:tc>
        <w:tc>
          <w:tcPr>
            <w:tcW w:type="dxa" w:w="3120"/>
            <w:tcBorders>
              <w:top w:val="single" w:color="CCCCCC" w:sz="1"/>
              <w:left w:val="single" w:color="CCCCCC" w:sz="1"/>
              <w:bottom w:val="single" w:color="CCCCCC" w:sz="1"/>
              <w:right w:val="single" w:color="CCCCCC" w:sz="1"/>
            </w:tcBorders>
            <w:shd w:fill="F0F5FB" w:val="clear"/>
            <w:tcMar>
              <w:top w:type="dxa" w:w="100"/>
              <w:left w:type="dxa" w:w="160"/>
              <w:bottom w:type="dxa" w:w="100"/>
              <w:right w:type="dxa" w:w="160"/>
            </w:tcMar>
          </w:tcPr>
          <w:p>
            <w:pPr>
              <w:jc w:val="center"/>
            </w:pPr>
            <w:r>
              <w:rPr>
                <w:rFonts w:ascii="Arial" w:cs="Arial" w:eastAsia="Arial" w:hAnsi="Arial"/>
                <w:b w:val="false"/>
                <w:bCs w:val="false"/>
                <w:color w:val="1A2238"/>
                <w:sz w:val="20"/>
                <w:szCs w:val="20"/>
              </w:rPr>
              <w:t xml:space="preserve">se comprometeu com estilo de vida seco em 2025</w:t>
            </w:r>
          </w:p>
        </w:tc>
        <w:tc>
          <w:tcPr>
            <w:tcW w:type="dxa" w:w="312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pPr>
              <w:jc w:val="center"/>
            </w:pPr>
            <w:r>
              <w:rPr>
                <w:rFonts w:ascii="Arial" w:cs="Arial" w:eastAsia="Arial" w:hAnsi="Arial"/>
                <w:b w:val="false"/>
                <w:bCs w:val="false"/>
                <w:color w:val="1A2238"/>
                <w:sz w:val="20"/>
                <w:szCs w:val="20"/>
              </w:rPr>
              <w:t xml:space="preserve">propensa a participar do sober curious em 2025</w:t>
            </w:r>
          </w:p>
        </w:tc>
      </w:tr>
      <w:tr>
        <w:tc>
          <w:tcPr>
            <w:tcW w:type="dxa" w:w="312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pPr>
              <w:jc w:val="center"/>
            </w:pPr>
            <w:r>
              <w:rPr>
                <w:rFonts w:ascii="Arial" w:cs="Arial" w:eastAsia="Arial" w:hAnsi="Arial"/>
                <w:b/>
                <w:bCs/>
                <w:color w:val="1A2238"/>
                <w:sz w:val="20"/>
                <w:szCs w:val="20"/>
              </w:rPr>
              <w:t xml:space="preserve">+22%</w:t>
            </w:r>
          </w:p>
        </w:tc>
        <w:tc>
          <w:tcPr>
            <w:tcW w:type="dxa" w:w="3120"/>
            <w:tcBorders>
              <w:top w:val="single" w:color="CCCCCC" w:sz="1"/>
              <w:left w:val="single" w:color="CCCCCC" w:sz="1"/>
              <w:bottom w:val="single" w:color="CCCCCC" w:sz="1"/>
              <w:right w:val="single" w:color="CCCCCC" w:sz="1"/>
            </w:tcBorders>
            <w:shd w:fill="F0F5FB" w:val="clear"/>
            <w:tcMar>
              <w:top w:type="dxa" w:w="100"/>
              <w:left w:type="dxa" w:w="160"/>
              <w:bottom w:type="dxa" w:w="100"/>
              <w:right w:type="dxa" w:w="160"/>
            </w:tcMar>
          </w:tcPr>
          <w:p>
            <w:pPr>
              <w:jc w:val="center"/>
            </w:pPr>
            <w:r>
              <w:rPr>
                <w:rFonts w:ascii="Arial" w:cs="Arial" w:eastAsia="Arial" w:hAnsi="Arial"/>
                <w:b/>
                <w:bCs/>
                <w:color w:val="1A2238"/>
                <w:sz w:val="20"/>
                <w:szCs w:val="20"/>
              </w:rPr>
              <w:t xml:space="preserve">54%</w:t>
            </w:r>
          </w:p>
        </w:tc>
        <w:tc>
          <w:tcPr>
            <w:tcW w:type="dxa" w:w="312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pPr>
              <w:jc w:val="center"/>
            </w:pPr>
            <w:r>
              <w:rPr>
                <w:rFonts w:ascii="Arial" w:cs="Arial" w:eastAsia="Arial" w:hAnsi="Arial"/>
                <w:b/>
                <w:bCs/>
                <w:color w:val="1A2238"/>
                <w:sz w:val="20"/>
                <w:szCs w:val="20"/>
              </w:rPr>
              <w:t xml:space="preserve">49%</w:t>
            </w:r>
          </w:p>
        </w:tc>
      </w:tr>
      <w:tr>
        <w:tc>
          <w:tcPr>
            <w:tcW w:type="dxa" w:w="312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pPr>
              <w:jc w:val="center"/>
            </w:pPr>
            <w:r>
              <w:rPr>
                <w:rFonts w:ascii="Arial" w:cs="Arial" w:eastAsia="Arial" w:hAnsi="Arial"/>
                <w:b w:val="false"/>
                <w:bCs w:val="false"/>
                <w:color w:val="1A2238"/>
                <w:sz w:val="20"/>
                <w:szCs w:val="20"/>
              </w:rPr>
              <w:t xml:space="preserve">nas compras de cervejas não-alcoólicas (dez/2023–nov/2024)</w:t>
            </w:r>
          </w:p>
        </w:tc>
        <w:tc>
          <w:tcPr>
            <w:tcW w:type="dxa" w:w="3120"/>
            <w:tcBorders>
              <w:top w:val="single" w:color="CCCCCC" w:sz="1"/>
              <w:left w:val="single" w:color="CCCCCC" w:sz="1"/>
              <w:bottom w:val="single" w:color="CCCCCC" w:sz="1"/>
              <w:right w:val="single" w:color="CCCCCC" w:sz="1"/>
            </w:tcBorders>
            <w:shd w:fill="F0F5FB" w:val="clear"/>
            <w:tcMar>
              <w:top w:type="dxa" w:w="100"/>
              <w:left w:type="dxa" w:w="160"/>
              <w:bottom w:type="dxa" w:w="100"/>
              <w:right w:type="dxa" w:w="160"/>
            </w:tcMar>
          </w:tcPr>
          <w:p>
            <w:pPr>
              <w:jc w:val="center"/>
            </w:pPr>
            <w:r>
              <w:rPr>
                <w:rFonts w:ascii="Arial" w:cs="Arial" w:eastAsia="Arial" w:hAnsi="Arial"/>
                <w:b w:val="false"/>
                <w:bCs w:val="false"/>
                <w:color w:val="1A2238"/>
                <w:sz w:val="20"/>
                <w:szCs w:val="20"/>
              </w:rPr>
              <w:t xml:space="preserve">dos adultos americanos "usam bebidas alcoólicas" — menor taxa em 2 décadas (Gallup)</w:t>
            </w:r>
          </w:p>
        </w:tc>
        <w:tc>
          <w:tcPr>
            <w:tcW w:type="dxa" w:w="312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pPr>
              <w:jc w:val="center"/>
            </w:pPr>
            <w:r>
              <w:rPr>
                <w:rFonts w:ascii="Arial" w:cs="Arial" w:eastAsia="Arial" w:hAnsi="Arial"/>
                <w:b w:val="false"/>
                <w:bCs w:val="false"/>
                <w:color w:val="1A2238"/>
                <w:sz w:val="20"/>
                <w:szCs w:val="20"/>
              </w:rPr>
              <w:t xml:space="preserve">de todos os americanos planejam beber menos (alta de 44% desde 2023)</w:t>
            </w:r>
          </w:p>
        </w:tc>
      </w:tr>
    </w:tbl>
    <w:p/>
    <w:p>
      <w:pPr>
        <w:spacing w:after="60" w:before="60"/>
        <w:jc w:val="both"/>
      </w:pPr>
      <w:r>
        <w:rPr>
          <w:rFonts w:ascii="Arial" w:cs="Arial" w:eastAsia="Arial" w:hAnsi="Arial"/>
          <w:color w:val="333333"/>
          <w:sz w:val="21"/>
          <w:szCs w:val="21"/>
        </w:rPr>
        <w:t xml:space="preserve">Por que a Gen Z bebe menos: escolha pessoal consciente (53%), saúde e bem-estar (34%), transparência sobre impactos, status social invertido (ser sober é aspiracional), saúde mental e custo crescente.</w:t>
      </w:r>
    </w:p>
    <w:p/>
    <w:p>
      <w:pPr>
        <w:spacing w:after="60" w:before="60"/>
        <w:jc w:val="both"/>
      </w:pPr>
      <w:r>
        <w:rPr>
          <w:rFonts w:ascii="Arial" w:cs="Arial" w:eastAsia="Arial" w:hAnsi="Arial"/>
          <w:color w:val="333333"/>
          <w:sz w:val="21"/>
          <w:szCs w:val="21"/>
        </w:rPr>
        <w:t xml:space="preserve">O que estão bebendo no lugar: refrigerantes funcionais (probióticos, vitaminas, adaptógenos), mocktails sofisticados, chá como bebida social (consumo de chá no happy hour é notavelmente maior entre Gen Z — 23% — vs. gerações mais velhas), bebidas com mood-boosting (nootropicos, adaptógenos).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35A" w:sz="4"/>
              <w:left w:val="single" w:color="C0335A" w:sz="12"/>
              <w:bottom w:val="single" w:color="C0335A" w:sz="4"/>
              <w:right w:val="single" w:color="CCCCCC" w:sz="1"/>
            </w:tcBorders>
            <w:shd w:fill="FFF0F4" w:val="clear"/>
            <w:tcMar>
              <w:top w:type="dxa" w:w="100"/>
              <w:left w:type="dxa" w:w="200"/>
              <w:bottom w:type="dxa" w:w="100"/>
              <w:right w:type="dxa" w:w="160"/>
            </w:tcMar>
          </w:tcPr>
          <w:p>
            <w:pPr>
              <w:jc w:val="both"/>
            </w:pPr>
            <w:r>
              <w:rPr>
                <w:rFonts w:ascii="Arial" w:cs="Arial" w:eastAsia="Arial" w:hAnsi="Arial"/>
                <w:i/>
                <w:iCs/>
                <w:color w:val="1A2238"/>
                <w:sz w:val="20"/>
                <w:szCs w:val="20"/>
              </w:rPr>
              <w:t xml:space="preserve">INSIGHT PARA A PUSH: O matcha é a bebida sober curious perfeita — tem ritual social, é sofisticado visualmente, tem benefício funcional, não é alcoólico e não é um simples suco. A Push pode posicionar o matcha latte como "o drink do happy hour saudável". Conteúdo: "Meet for Matcha" como alternativa ao "Meet for Drinks". PARÂMETRO DO CONSUMIDOR SINTÉTICO: deve associar matcha a socialização intencional e sóbria, não apenas a ritual matinal.</w:t>
            </w:r>
          </w:p>
        </w:tc>
      </w:tr>
    </w:tbl>
    <w:p/>
    <w:p>
      <w:pPr>
        <w:pBdr>
          <w:bottom w:val="single" w:color="C0335A" w:sz="3" w:space="1"/>
        </w:pBdr>
        <w:spacing w:after="80" w:before="280"/>
      </w:pPr>
      <w:r>
        <w:rPr>
          <w:rFonts w:ascii="Arial" w:cs="Arial" w:eastAsia="Arial" w:hAnsi="Arial"/>
          <w:b/>
          <w:bCs/>
          <w:color w:val="C0335A"/>
          <w:sz w:val="26"/>
          <w:szCs w:val="26"/>
        </w:rPr>
        <w:t xml:space="preserve">TENDÊNCIA 3 — CREATOR ECONOMY E A GERAÇÃO SIDE HUSTLE</w:t>
      </w:r>
    </w:p>
    <w:p/>
    <w:p>
      <w:pPr>
        <w:spacing w:after="60" w:before="60"/>
        <w:jc w:val="both"/>
      </w:pPr>
      <w:r>
        <w:rPr>
          <w:rFonts w:ascii="Arial" w:cs="Arial" w:eastAsia="Arial" w:hAnsi="Arial"/>
          <w:color w:val="333333"/>
          <w:sz w:val="21"/>
          <w:szCs w:val="21"/>
        </w:rPr>
        <w:t xml:space="preserve">A Gen Z não sonha com emprego fixo — sonha com autonomia. A economia de criadores e os side hustles tornaram-se parte estrutural de como essa geração pensa sobre trabalho, dinheiro e identidade: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DADO</w:t>
            </w:r>
          </w:p>
        </w:tc>
        <w:tc>
          <w:tcPr>
            <w:tcW w:type="dxa" w:w="636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IMPLICAÇÃO CULTURAL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57% da Gen Z tem ao menos um side hustle (Intuit, 2025)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Autonomia e renda extra como norma, não exceção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48% se identificam como criadores de conteúdo (2024)</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Personal branding como modo de vida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US$ 9.800/ano: renda média de um side hustler Gen Z</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Renda suplementar real que influencia decisões de consumo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65% pretendem manter seus side hustles em 2025+</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Tendência estrutural, não conjuntural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56% dos Gen Z já são social media buyers (vs. 36,5% da população geral)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TikTok Shop é canal de venda real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42% são movidos pela paixão, não pela segurança financeira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Flexibilidade e propósito &gt; estabilidade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35A" w:sz="4"/>
              <w:left w:val="single" w:color="C0335A" w:sz="12"/>
              <w:bottom w:val="single" w:color="C0335A" w:sz="4"/>
              <w:right w:val="single" w:color="CCCCCC" w:sz="1"/>
            </w:tcBorders>
            <w:shd w:fill="FFF0F4" w:val="clear"/>
            <w:tcMar>
              <w:top w:type="dxa" w:w="100"/>
              <w:left w:type="dxa" w:w="200"/>
              <w:bottom w:type="dxa" w:w="100"/>
              <w:right w:type="dxa" w:w="160"/>
            </w:tcMar>
          </w:tcPr>
          <w:p>
            <w:pPr>
              <w:jc w:val="both"/>
            </w:pPr>
            <w:r>
              <w:rPr>
                <w:rFonts w:ascii="Arial" w:cs="Arial" w:eastAsia="Arial" w:hAnsi="Arial"/>
                <w:i/>
                <w:iCs/>
                <w:color w:val="1A2238"/>
                <w:sz w:val="20"/>
                <w:szCs w:val="20"/>
              </w:rPr>
              <w:t xml:space="preserve">INSIGHT PARA A PUSH: A Push pode se posicionar como "a bebida do creator" e "a bebida do side hustle matinal". Quem acorda às 6h para criar conteúdo, editar vídeo ou estudar para o side hustle precisa de energia sustentável. Conteúdo: "Meu ritual matinal de creator" mostrando o matcha como parte da rotina de produtividade. Programa de embaixadores "Push Creators". PARÂMETRO DO CONSUMIDOR SINTÉTICO: deve associar matcha a produtividade autônoma e a pessoas que constroem algo próprio.</w:t>
            </w:r>
          </w:p>
        </w:tc>
      </w:tr>
    </w:tbl>
    <w:p/>
    <w:p>
      <w:pPr>
        <w:pBdr>
          <w:bottom w:val="single" w:color="C0335A" w:sz="3" w:space="1"/>
        </w:pBdr>
        <w:spacing w:after="80" w:before="280"/>
      </w:pPr>
      <w:r>
        <w:rPr>
          <w:rFonts w:ascii="Arial" w:cs="Arial" w:eastAsia="Arial" w:hAnsi="Arial"/>
          <w:b/>
          <w:bCs/>
          <w:color w:val="C0335A"/>
          <w:sz w:val="26"/>
          <w:szCs w:val="26"/>
        </w:rPr>
        <w:t xml:space="preserve">TENDÊNCIA 4 — MICRO-TRIBOS E SUBCULTURAS DIGITAIS</w:t>
      </w:r>
    </w:p>
    <w:p/>
    <w:p>
      <w:pPr>
        <w:spacing w:after="60" w:before="60"/>
        <w:jc w:val="both"/>
      </w:pPr>
      <w:r>
        <w:rPr>
          <w:rFonts w:ascii="Arial" w:cs="Arial" w:eastAsia="Arial" w:hAnsi="Arial"/>
          <w:color w:val="333333"/>
          <w:sz w:val="21"/>
          <w:szCs w:val="21"/>
        </w:rPr>
        <w:t xml:space="preserve">A Gen Z abandonou a cultura pop mainstream. Em vez de fenômenos culturais unificadores, investe em subculturas hiperspecíficas — micro-comunidades com linguagem, estética, rituais e hierarquias sociais próprias.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MICRO-TRIBO</w:t>
            </w:r>
          </w:p>
        </w:tc>
        <w:tc>
          <w:tcPr>
            <w:tcW w:type="dxa" w:w="636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DESCRIÇÃO, COMPORTAMENTO E CONEXÃO COM MATCHA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Clean Girl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Pele natural, maquiagem mínima, roupas neutras, matcha latte, pilates. Estética dominante entre mulheres Gen Z. O matcha já é item central nesta tribo.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That Girl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Versão aspiracional da Clean Girl: acorda às 5h, treina, faz journaling, bebe matcha, é produtiva sem esforço aparente. Matcha como marcador essencial da identidade.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Cozy Study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Livestreams de 3–4h de pessoas estudando em silêncio. O conteúdo É a companhia. OPORTUNIDADE: matcha como companhia de estudo, combustível do focus time.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Cottagecore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Estética rural romantizada: pão caseiro, horta, roupas de linho, chá. Rejeição simbólica da vida urbana digital. Matcha como "chá sofisticado" tem conexão natural.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Dark Academia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Estética intelectual: bibliotecas, café, poesia, roupas clássicas. Aspiração de erudição e profundidade. OPORTUNIDADE: matcha como ritual intelectual.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ADHD / Neurodivergent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Comunidade que compartilha estratégias de foco, produtividade e rotina. #ADHD tem bilhões de views no TikTok. OPORTUNIDADE: matcha como ferramenta de foco para o cérebro ADHD.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Gym Bros / Fitness Culture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Cultura de academia como identidade social. 77% se preocupam com o que consomem. OPORTUNIDADE: matcha como pré-treino sem crash.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Y2K / Nostalgia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Moda, música e tecnologia dos anos 2000. Retorno cíclico. OPORTUNIDADE: drops sazonais com estética retro e "matcha analógico".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Soft Life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Priorização deliberada de conforto, prazer e baixo estresse. Rejeição da "hustle culture". Luxo acessível como self-care. OPORTUNIDADE: matcha como pequeno luxo diário.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Main Character Energy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Viver como protagonista da própria história. Romanticizar o cotidiano. Atos pequenos como grandes gestos narrativos. OPORTUNIDADE: "romanticize your morning with matcha".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35A" w:sz="4"/>
              <w:left w:val="single" w:color="C0335A" w:sz="12"/>
              <w:bottom w:val="single" w:color="C0335A" w:sz="4"/>
              <w:right w:val="single" w:color="CCCCCC" w:sz="1"/>
            </w:tcBorders>
            <w:shd w:fill="FFF0F4" w:val="clear"/>
            <w:tcMar>
              <w:top w:type="dxa" w:w="100"/>
              <w:left w:type="dxa" w:w="200"/>
              <w:bottom w:type="dxa" w:w="100"/>
              <w:right w:type="dxa" w:w="160"/>
            </w:tcMar>
          </w:tcPr>
          <w:p>
            <w:pPr>
              <w:jc w:val="both"/>
            </w:pPr>
            <w:r>
              <w:rPr>
                <w:rFonts w:ascii="Arial" w:cs="Arial" w:eastAsia="Arial" w:hAnsi="Arial"/>
                <w:i/>
                <w:iCs/>
                <w:color w:val="1A2238"/>
                <w:sz w:val="20"/>
                <w:szCs w:val="20"/>
              </w:rPr>
              <w:t xml:space="preserve">INSIGHT PARA A PUSH: A Push não precisa falar com "a Gen Z" — precisa falar com TRIBOS ESPECÍFICAS. Cada tribo pode ter uma trilha de conteúdo própria no TikTok. PARÂMETRO DO CONSUMIDOR SINTÉTICO: deve pertencer a pelo menos 2–3 dessas tribos e reagir de forma diferente a mensagens direcionadas a cada uma.</w:t>
            </w:r>
          </w:p>
        </w:tc>
      </w:tr>
    </w:tbl>
    <w:p/>
    <w:p>
      <w:pPr>
        <w:pBdr>
          <w:bottom w:val="single" w:color="C0335A" w:sz="3" w:space="1"/>
        </w:pBdr>
        <w:spacing w:after="80" w:before="280"/>
      </w:pPr>
      <w:r>
        <w:rPr>
          <w:rFonts w:ascii="Arial" w:cs="Arial" w:eastAsia="Arial" w:hAnsi="Arial"/>
          <w:b/>
          <w:bCs/>
          <w:color w:val="C0335A"/>
          <w:sz w:val="26"/>
          <w:szCs w:val="26"/>
        </w:rPr>
        <w:t xml:space="preserve">TENDÊNCIA 5 — SAÚDE MENTAL COMO INFRAESTRUTURA DE VIDA</w:t>
      </w:r>
    </w:p>
    <w:p/>
    <w:p>
      <w:pPr>
        <w:spacing w:after="60" w:before="60"/>
        <w:jc w:val="both"/>
      </w:pPr>
      <w:r>
        <w:rPr>
          <w:rFonts w:ascii="Arial" w:cs="Arial" w:eastAsia="Arial" w:hAnsi="Arial"/>
          <w:color w:val="333333"/>
          <w:sz w:val="21"/>
          <w:szCs w:val="21"/>
        </w:rPr>
        <w:t xml:space="preserve">Saúde mental deixou de ser tema tabu e se tornou o principal organizador das decisões de vida da Gen Z — desde que carreira seguir até que bebida comprar. No Brasil, licenças médicas por ansiedade e depressão cresceram 68% entre 2023 e 2025 (Worldpanel by Numerator).</w:t>
      </w:r>
    </w:p>
    <w:p/>
    <w:p>
      <w:pPr>
        <w:spacing w:after="60" w:before="60"/>
        <w:jc w:val="both"/>
      </w:pPr>
      <w:r>
        <w:rPr>
          <w:rFonts w:ascii="Arial" w:cs="Arial" w:eastAsia="Arial" w:hAnsi="Arial"/>
          <w:color w:val="333333"/>
          <w:sz w:val="21"/>
          <w:szCs w:val="21"/>
        </w:rPr>
        <w:t xml:space="preserve">Dados-chave:</w:t>
      </w:r>
    </w:p>
    <w:p>
      <w:pPr>
        <w:pStyle w:val="ListParagraph"/>
        <w:numPr>
          <w:ilvl w:val="0"/>
          <w:numId w:val="2"/>
        </w:numPr>
        <w:spacing w:after="40" w:before="40"/>
      </w:pPr>
      <w:r>
        <w:rPr>
          <w:rFonts w:ascii="Arial" w:cs="Arial" w:eastAsia="Arial" w:hAnsi="Arial"/>
          <w:color w:val="333333"/>
          <w:sz w:val="21"/>
          <w:szCs w:val="21"/>
        </w:rPr>
        <w:t xml:space="preserve">63% da Gen Z planejou fazer detox de redes sociais em 2024 — a maior taxa de qualquer geração (National Geographic).</w:t>
      </w:r>
    </w:p>
    <w:p>
      <w:pPr>
        <w:pStyle w:val="ListParagraph"/>
        <w:numPr>
          <w:ilvl w:val="0"/>
          <w:numId w:val="2"/>
        </w:numPr>
        <w:spacing w:after="40" w:before="40"/>
      </w:pPr>
      <w:r>
        <w:rPr>
          <w:rFonts w:ascii="Arial" w:cs="Arial" w:eastAsia="Arial" w:hAnsi="Arial"/>
          <w:color w:val="333333"/>
          <w:sz w:val="21"/>
          <w:szCs w:val="21"/>
        </w:rPr>
        <w:t xml:space="preserve">Saúde mental é critério de decisão profissional: a Gen Z recusa empregos que comprometem bem-estar, mesmo com salário maior.</w:t>
      </w:r>
    </w:p>
    <w:p>
      <w:pPr>
        <w:pStyle w:val="ListParagraph"/>
        <w:numPr>
          <w:ilvl w:val="0"/>
          <w:numId w:val="2"/>
        </w:numPr>
        <w:spacing w:after="40" w:before="40"/>
      </w:pPr>
      <w:r>
        <w:rPr>
          <w:rFonts w:ascii="Arial" w:cs="Arial" w:eastAsia="Arial" w:hAnsi="Arial"/>
          <w:color w:val="333333"/>
          <w:sz w:val="21"/>
          <w:szCs w:val="21"/>
        </w:rPr>
        <w:t xml:space="preserve">Apps de meditação, terapia online, comunidades de apoio e ferramentas de mindfulness são parte do cotidiano.</w:t>
      </w:r>
    </w:p>
    <w:p>
      <w:pPr>
        <w:pStyle w:val="ListParagraph"/>
        <w:numPr>
          <w:ilvl w:val="0"/>
          <w:numId w:val="2"/>
        </w:numPr>
        <w:spacing w:after="40" w:before="40"/>
      </w:pPr>
      <w:r>
        <w:rPr>
          <w:rFonts w:ascii="Arial" w:cs="Arial" w:eastAsia="Arial" w:hAnsi="Arial"/>
          <w:color w:val="333333"/>
          <w:sz w:val="21"/>
          <w:szCs w:val="21"/>
        </w:rPr>
        <w:t xml:space="preserve">Tendência #TheGreatLockIn (TikTok Next 2026): saindo do escapismo #delulu para foco em metas mensuráveis, desenvolvimento pessoal e calma produtiva.</w:t>
      </w:r>
    </w:p>
    <w:p/>
    <w:p>
      <w:pPr>
        <w:spacing w:after="60" w:before="60"/>
        <w:jc w:val="both"/>
      </w:pPr>
      <w:r>
        <w:rPr>
          <w:rFonts w:ascii="Arial" w:cs="Arial" w:eastAsia="Arial" w:hAnsi="Arial"/>
          <w:color w:val="333333"/>
          <w:sz w:val="21"/>
          <w:szCs w:val="21"/>
        </w:rPr>
        <w:t xml:space="preserve">A Dimensão Funcional — Bebidas como Ferramenta de Saúde Mental: na intersecção entre saúde mental e consumo de bebidas, a Gen Z busca produtos que entregam benefícios emocionais e cognitivos. Bebidas funcionais com adaptógenos, nootropicos e L-teanina crescem porque prometem exatamente o que a Gen Z mais quer: calma produtiva, foco sem ansiedade, energia sem crash.</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35A" w:sz="4"/>
              <w:left w:val="single" w:color="C0335A" w:sz="12"/>
              <w:bottom w:val="single" w:color="C0335A" w:sz="4"/>
              <w:right w:val="single" w:color="CCCCCC" w:sz="1"/>
            </w:tcBorders>
            <w:shd w:fill="FFF0F4" w:val="clear"/>
            <w:tcMar>
              <w:top w:type="dxa" w:w="100"/>
              <w:left w:type="dxa" w:w="200"/>
              <w:bottom w:type="dxa" w:w="100"/>
              <w:right w:type="dxa" w:w="160"/>
            </w:tcMar>
          </w:tcPr>
          <w:p>
            <w:pPr>
              <w:jc w:val="both"/>
            </w:pPr>
            <w:r>
              <w:rPr>
                <w:rFonts w:ascii="Arial" w:cs="Arial" w:eastAsia="Arial" w:hAnsi="Arial"/>
                <w:i/>
                <w:iCs/>
                <w:color w:val="1A2238"/>
                <w:sz w:val="20"/>
                <w:szCs w:val="20"/>
              </w:rPr>
              <w:t xml:space="preserve">INSIGHT PARA A PUSH: O matcha Push tem claim funcional real (cafeína + L-teanina = foco calmo por 8h) que se encaixa perfeitamente na narrativa de saúde mental da Gen Z. Mas o claim precisa ser comunicado em linguagem emocional, não clínica: "Energia que acalma", "Foco sem o drama", "Seu ritual de calma produtiva". PARÂMETRO DO CONSUMIDOR SINTÉTICO: deve ter saúde mental como filtro primário de avaliação de qualquer produto.</w:t>
            </w:r>
          </w:p>
        </w:tc>
      </w:tr>
    </w:tbl>
    <w:p/>
    <w:p>
      <w:pPr>
        <w:pBdr>
          <w:bottom w:val="single" w:color="C0335A" w:sz="3" w:space="1"/>
        </w:pBdr>
        <w:spacing w:after="80" w:before="280"/>
      </w:pPr>
      <w:r>
        <w:rPr>
          <w:rFonts w:ascii="Arial" w:cs="Arial" w:eastAsia="Arial" w:hAnsi="Arial"/>
          <w:b/>
          <w:bCs/>
          <w:color w:val="C0335A"/>
          <w:sz w:val="26"/>
          <w:szCs w:val="26"/>
        </w:rPr>
        <w:t xml:space="preserve">TENDÊNCIA 6 — TREATONOMICS: A ECONOMIA DOS PEQUENOS LUXOS</w:t>
      </w:r>
    </w:p>
    <w:p/>
    <w:p>
      <w:pPr>
        <w:spacing w:after="60" w:before="60"/>
        <w:jc w:val="both"/>
      </w:pPr>
      <w:r>
        <w:rPr>
          <w:rFonts w:ascii="Arial" w:cs="Arial" w:eastAsia="Arial" w:hAnsi="Arial"/>
          <w:color w:val="333333"/>
          <w:sz w:val="21"/>
          <w:szCs w:val="21"/>
        </w:rPr>
        <w:t xml:space="preserve">A VML identificou no Future 100 (2026) a tendência "Treatonomics": em tempos de incerteza econômica, a Gen Z substitui grandes compras por pequenos luxos diários que geram prazer imediato e sensação de autocuidado. Não é indulgência irresponsável — é ROI emocional calculado.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DADO TREATONOMICS</w:t>
            </w:r>
          </w:p>
        </w:tc>
        <w:tc>
          <w:tcPr>
            <w:tcW w:type="dxa" w:w="636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FONTE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2 em 5 Gen Z antecipam gastar mais em food &amp; beverage — e consideram isso boost de bem-estar emocional, não apenas gasto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VML Future 100,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No Brasil: consumo de perfumes cresceu 15%, impulsionado pelas classes D e 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Worldpanel by Numerator,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Bebidas proteicas: penetração de 5% (2023) para 13% (2025)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Worldpanel by Numerator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Cervejas 0%: de 10% para 15% no mesmo período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Worldpanel by Numerator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A Perfect Ted (UK) popularizou o "indulgent little treat" para matcha com sabores Banoffee, Strawberry Shortcake e Dubai Chocolate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Análise Push Matcha, 2026</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35A" w:sz="4"/>
              <w:left w:val="single" w:color="C0335A" w:sz="12"/>
              <w:bottom w:val="single" w:color="C0335A" w:sz="4"/>
              <w:right w:val="single" w:color="CCCCCC" w:sz="1"/>
            </w:tcBorders>
            <w:shd w:fill="FFF0F4" w:val="clear"/>
            <w:tcMar>
              <w:top w:type="dxa" w:w="100"/>
              <w:left w:type="dxa" w:w="200"/>
              <w:bottom w:type="dxa" w:w="100"/>
              <w:right w:type="dxa" w:w="160"/>
            </w:tcMar>
          </w:tcPr>
          <w:p>
            <w:pPr>
              <w:jc w:val="both"/>
            </w:pPr>
            <w:r>
              <w:rPr>
                <w:rFonts w:ascii="Arial" w:cs="Arial" w:eastAsia="Arial" w:hAnsi="Arial"/>
                <w:i/>
                <w:iCs/>
                <w:color w:val="1A2238"/>
                <w:sz w:val="20"/>
                <w:szCs w:val="20"/>
              </w:rPr>
              <w:t xml:space="preserve">INSIGHT PARA A PUSH: O matcha Push deve ser comunicado como "pequeno luxo diário com propósito" — não como "alternativa saudável ao café". A diferença é emocional: "você merece esse momento" vs. "isso é bom para você". A precificação premium se justifica quando framed como treat, não como commodity. PARÂMETRO DO CONSUMIDOR SINTÉTICO: deve responder positivamente a framing de treat/indulgência e negativamente a framing de suplemento ou remédio.</w:t>
            </w:r>
          </w:p>
        </w:tc>
      </w:tr>
    </w:tbl>
    <w:p/>
    <w:p>
      <w:pPr>
        <w:pBdr>
          <w:bottom w:val="single" w:color="C0335A" w:sz="3" w:space="1"/>
        </w:pBdr>
        <w:spacing w:after="80" w:before="280"/>
      </w:pPr>
      <w:r>
        <w:rPr>
          <w:rFonts w:ascii="Arial" w:cs="Arial" w:eastAsia="Arial" w:hAnsi="Arial"/>
          <w:b/>
          <w:bCs/>
          <w:color w:val="C0335A"/>
          <w:sz w:val="26"/>
          <w:szCs w:val="26"/>
        </w:rPr>
        <w:t xml:space="preserve">TENDÊNCIA 7 — NOSTALGIA ESTRATÉGICA E CULTURA Y2K</w:t>
      </w:r>
    </w:p>
    <w:p/>
    <w:p>
      <w:pPr>
        <w:spacing w:after="60" w:before="60"/>
        <w:jc w:val="both"/>
      </w:pPr>
      <w:r>
        <w:rPr>
          <w:rFonts w:ascii="Arial" w:cs="Arial" w:eastAsia="Arial" w:hAnsi="Arial"/>
          <w:color w:val="333333"/>
          <w:sz w:val="21"/>
          <w:szCs w:val="21"/>
        </w:rPr>
        <w:t xml:space="preserve">A Gen Z tem nostalgia de épocas que não viveu. A estética Y2K (anos 2000), a cultura dos anos 90 e até referências dos anos 80 são constantemente recicladas no TikTok. Não é apenas moda — é busca por simplicidade percebida, tangibilidade e escapismo de um presente digital saturado.</w:t>
      </w:r>
    </w:p>
    <w:p/>
    <w:p>
      <w:pPr>
        <w:spacing w:after="60" w:before="60"/>
        <w:jc w:val="both"/>
      </w:pPr>
      <w:r>
        <w:rPr>
          <w:rFonts w:ascii="Arial" w:cs="Arial" w:eastAsia="Arial" w:hAnsi="Arial"/>
          <w:color w:val="333333"/>
          <w:sz w:val="21"/>
          <w:szCs w:val="21"/>
        </w:rPr>
        <w:t xml:space="preserve">Manifestações concretas:</w:t>
      </w:r>
    </w:p>
    <w:p>
      <w:pPr>
        <w:pStyle w:val="ListParagraph"/>
        <w:numPr>
          <w:ilvl w:val="0"/>
          <w:numId w:val="2"/>
        </w:numPr>
        <w:spacing w:after="40" w:before="40"/>
      </w:pPr>
      <w:r>
        <w:rPr>
          <w:rFonts w:ascii="Arial" w:cs="Arial" w:eastAsia="Arial" w:hAnsi="Arial"/>
          <w:color w:val="333333"/>
          <w:sz w:val="21"/>
          <w:szCs w:val="21"/>
        </w:rPr>
        <w:t xml:space="preserve">Buscas por "Y2K fashion tops" com pico em fevereiro de 2026 — crescimento sustentado ao longo de 2025.</w:t>
      </w:r>
    </w:p>
    <w:p>
      <w:pPr>
        <w:pStyle w:val="ListParagraph"/>
        <w:numPr>
          <w:ilvl w:val="0"/>
          <w:numId w:val="2"/>
        </w:numPr>
        <w:spacing w:after="40" w:before="40"/>
      </w:pPr>
      <w:r>
        <w:rPr>
          <w:rFonts w:ascii="Arial" w:cs="Arial" w:eastAsia="Arial" w:hAnsi="Arial"/>
          <w:color w:val="333333"/>
          <w:sz w:val="21"/>
          <w:szCs w:val="21"/>
        </w:rPr>
        <w:t xml:space="preserve">Retro Bluetooth CD Boomboxes para Gen Z: pico de buscas em nov/2025, vendas em dez/2025 — produto nostálgico como presente cultural.</w:t>
      </w:r>
    </w:p>
    <w:p>
      <w:pPr>
        <w:pStyle w:val="ListParagraph"/>
        <w:numPr>
          <w:ilvl w:val="0"/>
          <w:numId w:val="2"/>
        </w:numPr>
        <w:spacing w:after="40" w:before="40"/>
      </w:pPr>
      <w:r>
        <w:rPr>
          <w:rFonts w:ascii="Arial" w:cs="Arial" w:eastAsia="Arial" w:hAnsi="Arial"/>
          <w:color w:val="333333"/>
          <w:sz w:val="21"/>
          <w:szCs w:val="21"/>
        </w:rPr>
        <w:t xml:space="preserve">Colecionismo analógico: vinil, Polaroid, flip phones. O físico e o imperfeito como ato de resistência ao digital.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35A" w:sz="4"/>
              <w:left w:val="single" w:color="C0335A" w:sz="12"/>
              <w:bottom w:val="single" w:color="C0335A" w:sz="4"/>
              <w:right w:val="single" w:color="CCCCCC" w:sz="1"/>
            </w:tcBorders>
            <w:shd w:fill="FFF0F4" w:val="clear"/>
            <w:tcMar>
              <w:top w:type="dxa" w:w="100"/>
              <w:left w:type="dxa" w:w="200"/>
              <w:bottom w:type="dxa" w:w="100"/>
              <w:right w:type="dxa" w:w="160"/>
            </w:tcMar>
          </w:tcPr>
          <w:p>
            <w:pPr>
              <w:jc w:val="both"/>
            </w:pPr>
            <w:r>
              <w:rPr>
                <w:rFonts w:ascii="Arial" w:cs="Arial" w:eastAsia="Arial" w:hAnsi="Arial"/>
                <w:i/>
                <w:iCs/>
                <w:color w:val="1A2238"/>
                <w:sz w:val="20"/>
                <w:szCs w:val="20"/>
              </w:rPr>
              <w:t xml:space="preserve">INSIGHT PARA A PUSH: A nostalgia é uma alavanca pouco explorada para matcha no Brasil. A Push pode criar drops sazonais com estética Y2K (embalagens retrô, paleta de cores dos anos 2000), collabs com marcas de moda vintage, ou conteúdo que romanticize o "ritual matinal antes da era do smartphone". Campanhas de "matcha analógico" — preparo sem telefone, com chasen, em câmera lenta — surfam tanto a nostalgia quanto o anti-brain-rot. PARÂMETRO DO CONSUMIDOR SINTÉTICO: deve reagir positivamente a referências nostálgicas quando associadas a autenticidade e tangibilidade.</w:t>
            </w:r>
          </w:p>
        </w:tc>
      </w:tr>
    </w:tbl>
    <w:p/>
    <w:p>
      <w:pPr>
        <w:pBdr>
          <w:bottom w:val="single" w:color="C0335A" w:sz="3" w:space="1"/>
        </w:pBdr>
        <w:spacing w:after="80" w:before="280"/>
      </w:pPr>
      <w:r>
        <w:rPr>
          <w:rFonts w:ascii="Arial" w:cs="Arial" w:eastAsia="Arial" w:hAnsi="Arial"/>
          <w:b/>
          <w:bCs/>
          <w:color w:val="C0335A"/>
          <w:sz w:val="26"/>
          <w:szCs w:val="26"/>
        </w:rPr>
        <w:t xml:space="preserve">TENDÊNCIA 8 — GAMING, GAMIFICAÇÃO E IDENTIDADE DIGITAL</w:t>
      </w:r>
    </w:p>
    <w:p/>
    <w:p>
      <w:pPr>
        <w:spacing w:after="60" w:before="60"/>
        <w:jc w:val="both"/>
      </w:pPr>
      <w:r>
        <w:rPr>
          <w:rFonts w:ascii="Arial" w:cs="Arial" w:eastAsia="Arial" w:hAnsi="Arial"/>
          <w:color w:val="333333"/>
          <w:sz w:val="21"/>
          <w:szCs w:val="21"/>
        </w:rPr>
        <w:t xml:space="preserve">Gaming não é hobby para a Gen Z — é infraestrutura social. É onde se encontram, conversam, exploram identidade e até fazem ativismo. 28% da Gen Z assiste a livestreams de gaming quase todos os dias. Discord, originalmente app de gamers, é agora hub social para qualquer comunidade de nicho.</w:t>
      </w:r>
    </w:p>
    <w:p/>
    <w:p>
      <w:pPr>
        <w:spacing w:after="60" w:before="60"/>
        <w:jc w:val="both"/>
      </w:pPr>
      <w:r>
        <w:rPr>
          <w:rFonts w:ascii="Arial" w:cs="Arial" w:eastAsia="Arial" w:hAnsi="Arial"/>
          <w:color w:val="333333"/>
          <w:sz w:val="21"/>
          <w:szCs w:val="21"/>
        </w:rPr>
        <w:t xml:space="preserve">Dados de gamificação:</w:t>
      </w:r>
    </w:p>
    <w:p>
      <w:pPr>
        <w:pStyle w:val="ListParagraph"/>
        <w:numPr>
          <w:ilvl w:val="0"/>
          <w:numId w:val="2"/>
        </w:numPr>
        <w:spacing w:after="40" w:before="40"/>
      </w:pPr>
      <w:r>
        <w:rPr>
          <w:rFonts w:ascii="Arial" w:cs="Arial" w:eastAsia="Arial" w:hAnsi="Arial"/>
          <w:color w:val="333333"/>
          <w:sz w:val="21"/>
          <w:szCs w:val="21"/>
        </w:rPr>
        <w:t xml:space="preserve">A geração que cresceu com games espera que tudo funcione como game: recompensas claras, feedback instantâneo, progressão visível.</w:t>
      </w:r>
    </w:p>
    <w:p>
      <w:pPr>
        <w:pStyle w:val="ListParagraph"/>
        <w:numPr>
          <w:ilvl w:val="0"/>
          <w:numId w:val="2"/>
        </w:numPr>
        <w:spacing w:after="40" w:before="40"/>
      </w:pPr>
      <w:r>
        <w:rPr>
          <w:rFonts w:ascii="Arial" w:cs="Arial" w:eastAsia="Arial" w:hAnsi="Arial"/>
          <w:color w:val="333333"/>
          <w:sz w:val="21"/>
          <w:szCs w:val="21"/>
        </w:rPr>
        <w:t xml:space="preserve">44% da Gen Z engaja regularmente com conteúdo educativo e how-to nas redes — crescimento de 18% ano a ano.</w:t>
      </w:r>
    </w:p>
    <w:p>
      <w:pPr>
        <w:pStyle w:val="ListParagraph"/>
        <w:numPr>
          <w:ilvl w:val="0"/>
          <w:numId w:val="2"/>
        </w:numPr>
        <w:spacing w:after="40" w:before="40"/>
      </w:pPr>
      <w:r>
        <w:rPr>
          <w:rFonts w:ascii="Arial" w:cs="Arial" w:eastAsia="Arial" w:hAnsi="Arial"/>
          <w:color w:val="333333"/>
          <w:sz w:val="21"/>
          <w:szCs w:val="21"/>
        </w:rPr>
        <w:t xml:space="preserve">Duolingo (sequências), Nike Run Club (badges), Headspace (streaks): o medo de perder a sequência gera retenção.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35A" w:sz="4"/>
              <w:left w:val="single" w:color="C0335A" w:sz="12"/>
              <w:bottom w:val="single" w:color="C0335A" w:sz="4"/>
              <w:right w:val="single" w:color="CCCCCC" w:sz="1"/>
            </w:tcBorders>
            <w:shd w:fill="FFF0F4" w:val="clear"/>
            <w:tcMar>
              <w:top w:type="dxa" w:w="100"/>
              <w:left w:type="dxa" w:w="200"/>
              <w:bottom w:type="dxa" w:w="100"/>
              <w:right w:type="dxa" w:w="160"/>
            </w:tcMar>
          </w:tcPr>
          <w:p>
            <w:pPr>
              <w:jc w:val="both"/>
            </w:pPr>
            <w:r>
              <w:rPr>
                <w:rFonts w:ascii="Arial" w:cs="Arial" w:eastAsia="Arial" w:hAnsi="Arial"/>
                <w:i/>
                <w:iCs/>
                <w:color w:val="1A2238"/>
                <w:sz w:val="20"/>
                <w:szCs w:val="20"/>
              </w:rPr>
              <w:t xml:space="preserve">INSIGHT PARA A PUSH: A Push pode gamificar o consumo de matcha: "30 Days of Push" challenge no TikTok, com badge digital para quem completar. Programa de fidelidade com tiers, recompensas desbloqueáveis e conteúdo exclusivo. Parceria com apps de foco (Forest, Focus Friend) para integrar o ritual matcha na experiência gamificada de produtividade. PARÂMETRO DO CONSUMIDOR SINTÉTICO: deve responder positivamente a mecânicas de progressão, desafios e recompensas.</w:t>
            </w:r>
          </w:p>
        </w:tc>
      </w:tr>
    </w:tbl>
    <w:p/>
    <w:p>
      <w:pPr>
        <w:pBdr>
          <w:bottom w:val="single" w:color="C0335A" w:sz="3" w:space="1"/>
        </w:pBdr>
        <w:spacing w:after="80" w:before="280"/>
      </w:pPr>
      <w:r>
        <w:rPr>
          <w:rFonts w:ascii="Arial" w:cs="Arial" w:eastAsia="Arial" w:hAnsi="Arial"/>
          <w:b/>
          <w:bCs/>
          <w:color w:val="C0335A"/>
          <w:sz w:val="26"/>
          <w:szCs w:val="26"/>
        </w:rPr>
        <w:t xml:space="preserve">SÍNTESE: PERFIL EXTRACATEGORIA COMPLETO DO CONSUMIDOR PUSH</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238" w:val="clear"/>
            <w:tcMar>
              <w:top w:type="dxa" w:w="80"/>
              <w:left w:type="dxa" w:w="160"/>
              <w:bottom w:type="dxa" w:w="80"/>
              <w:right w:type="dxa" w:w="160"/>
            </w:tcMar>
          </w:tcPr>
          <w:p>
            <w:r>
              <w:rPr>
                <w:rFonts w:ascii="Arial" w:cs="Arial" w:eastAsia="Arial" w:hAnsi="Arial"/>
                <w:b/>
                <w:bCs/>
                <w:color w:val="FFFFFF"/>
                <w:sz w:val="21"/>
                <w:szCs w:val="21"/>
              </w:rPr>
              <w:t xml:space="preserve">O PERFIL EXTRACATEGORIA COMPLETO — PARÂMETROS PARA O CONSUMIDOR SINTÉTICO</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ATENÇÃO: está lutando contra o brain rot. Quer foco. Experimenta dopamine menus, rituais analógicos, cozy study sessions.</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ÁLCOOL: bebe pouco ou nada. Busca bebidas funcionais e sofisticadas para socializar sem álcool.</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TRABALHO: tem side hustle ou sonha com um. Cria conteúdo. Personal branding é modo de vida.</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TRIBOS: pertence a 2–3 micro-tribos (ex.: Clean Girl + Cozy Study + Soft Life). Cada tribo tem linguagem própria.</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SAÚDE MENTAL: é o filtro primário de todas as decisões. Recusa produtos/marcas que ignoram bem-estar emocional.</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CONSUMO: pratica treatonomics — pequenos luxos diários que geram prazer e propósito. ROI emocional calculado.</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NOSTALGIA: tem saudade de épocas que não viveu. Valoriza o analógico, o tangível, o imperfeito.</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GAMIFICAÇÃO: espera que tudo funcione como game — recompensas, progressão, feedback. Marcas sem gamificação são chatas.</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COMPRA: identidade social &gt; peer review &gt; experiência &gt; estética &gt; preço. Nessa ordem.</w:t>
            </w:r>
          </w:p>
        </w:tc>
      </w:tr>
    </w:tbl>
    <w:p/>
    <w:p>
      <w:pPr>
        <w:pBdr>
          <w:bottom w:val="single" w:color="C0335A" w:sz="3" w:space="1"/>
        </w:pBdr>
        <w:spacing w:after="80" w:before="280"/>
      </w:pPr>
      <w:r>
        <w:rPr>
          <w:rFonts w:ascii="Arial" w:cs="Arial" w:eastAsia="Arial" w:hAnsi="Arial"/>
          <w:b/>
          <w:bCs/>
          <w:color w:val="C0335A"/>
          <w:sz w:val="26"/>
          <w:szCs w:val="26"/>
        </w:rPr>
        <w:t xml:space="preserve">MAPA DE OPORTUNIDADES EXTRACATEGORIA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TENDÊNCIA EXTRACATEGORIA</w:t>
            </w:r>
          </w:p>
        </w:tc>
        <w:tc>
          <w:tcPr>
            <w:tcW w:type="dxa" w:w="636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OPORTUNIDADE CONCRETA PARA A PUSH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Anti-Brain Rot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Matcha como "bebida do dopamine menu". Ritual analógico de preparo como ato anti-scroll. Conteúdo: "Troque 10 min de TikTok por matcha + journaling."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Sober Curious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Matcha latte como drink social sofisticado sem álcool. "Meet for Matcha" como alternativa ao happy hour. RTD Pow em eventos noturnos.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Creator Economy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Matcha como bebida do creator/side hustler. Programa "Push Creators" recrutando micro-creators de múltiplos nichos. Patrocínio de cozy study sessions.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Micro-Tribos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Trilhas de conteúdo específicas por tribo: Clean Girl (ritual estético), Cozy Study (foco), ADHD (ferramenta de foco), Soft Life (luxo), Fitness (pré-treino).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Saúde Mental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Claim funcional (L-teanina + foco calmo) comunicado em linguagem emocional. Parceria com apps de meditação e mindfulness.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Treatonomics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Framing de "pequeno luxo diário com propósito". Preço premium justificado como treat, não commodity. Sabores sazonais indulgentes.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Nostalgia Y2K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Drops sazonais com estética retrô. Embalagens edição limitada anos 2000. Conteúdo "matcha analógico" — preparo sem celular.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Gamificação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"30 Days of Push" challenge. Programa de fidelidade com tiers. Badge digital para rituais matinais completados. Integração com apps de foco.</w:t>
            </w:r>
          </w:p>
        </w:tc>
      </w:tr>
    </w:tbl>
    <w:p>
      <w:r>
        <w:br w:type="page"/>
      </w:r>
    </w:p>
    <w:p>
      <w:pPr>
        <w:pBdr>
          <w:bottom w:val="single" w:color="C0335A" w:sz="6" w:space="2"/>
        </w:pBdr>
        <w:shd w:fill="1A2238" w:val="clear"/>
        <w:spacing w:after="120" w:before="360"/>
        <w:ind w:left="200" w:right="200"/>
      </w:pPr>
      <w:r>
        <w:rPr>
          <w:rFonts w:ascii="Arial" w:cs="Arial" w:eastAsia="Arial" w:hAnsi="Arial"/>
          <w:b/>
          <w:bCs/>
          <w:color w:val="FFFFFF"/>
          <w:sz w:val="34"/>
          <w:szCs w:val="34"/>
        </w:rPr>
        <w:t xml:space="preserve">PARTE V — SÍNTESE INTEGRADA: PARÂMETROS FINAIS PARA O CONSUMIDOR SINTÉTICO</w:t>
      </w:r>
    </w:p>
    <w:p/>
    <w:p>
      <w:pPr>
        <w:spacing w:after="60" w:before="60"/>
        <w:jc w:val="both"/>
      </w:pPr>
      <w:r>
        <w:rPr>
          <w:rFonts w:ascii="Arial" w:cs="Arial" w:eastAsia="Arial" w:hAnsi="Arial"/>
          <w:color w:val="333333"/>
          <w:sz w:val="21"/>
          <w:szCs w:val="21"/>
        </w:rPr>
        <w:t xml:space="preserve">Esta seção integra os achados das quatro partes analíticas em um conjunto consolidado de parâmetros comportamentais, psicográficos e de resistência que devem alimentar o Consumidor Sintético da Push Matcha.</w:t>
      </w:r>
    </w:p>
    <w:p/>
    <w:p>
      <w:pPr>
        <w:pBdr>
          <w:bottom w:val="single" w:color="C0335A" w:sz="3" w:space="1"/>
        </w:pBdr>
        <w:spacing w:after="80" w:before="280"/>
      </w:pPr>
      <w:r>
        <w:rPr>
          <w:rFonts w:ascii="Arial" w:cs="Arial" w:eastAsia="Arial" w:hAnsi="Arial"/>
          <w:b/>
          <w:bCs/>
          <w:color w:val="C0335A"/>
          <w:sz w:val="26"/>
          <w:szCs w:val="26"/>
        </w:rPr>
        <w:t xml:space="preserve">1. ARQUÉTIPO CONSOLIDADO: "O JOVEM LÚCIDO"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DIMENSÃO</w:t>
            </w:r>
          </w:p>
        </w:tc>
        <w:tc>
          <w:tcPr>
            <w:tcW w:type="dxa" w:w="636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PARÂMETRO DO CONSUMIDOR SINTÉTICO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Nome simbólico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"O Jovem Lúcido"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Idade / Localização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18–27 anos, cidade grande (São Paulo, Rio, BH, Curitiba)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Rotina matinal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Acorda entre 6h e 8h. Academia ou home office. Algum ritual matinal (journaling, meditação, leitura).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Necessidade central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Energia real sem ansiedade. Foco sem crash. Clareza mental.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Frase gatilho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"Energia que você sente, sem a ansiedade que você odeia."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Comunidades adjacentes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Runners/atletas, TDAH/foco, estudantes/concurseiros, creators, sober curious.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Micro-tribos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2–3 entre: Clean Girl, That Girl, Cozy Study, Soft Life, ADHD/Neurodivergent, Dark Academia.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Relação com álcool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Bebe pouco ou nada. Busca alternativas sofisticadas para socializar.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Relação com trabalho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Tem ou deseja side hustle. Personal branding como modo de vida.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Filtro principal de compra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Saúde mental e bem-estar emocional — acima de preço e funcionalidade.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Padrão de consumo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Treatonomics: pequenos luxos diários com propósito. ROI emocional calculado.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Comportamento digital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TikTok como busca e entretenimento, Instagram como estética, YouTube como educação, Discord como comunidade.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Descoberta de produtos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UGC (70% relevância), micro-influenciadores, algoritmo TikTok, peer review.</w:t>
            </w:r>
          </w:p>
        </w:tc>
      </w:tr>
    </w:tbl>
    <w:p/>
    <w:p>
      <w:pPr>
        <w:pBdr>
          <w:bottom w:val="single" w:color="C0335A" w:sz="3" w:space="1"/>
        </w:pBdr>
        <w:spacing w:after="80" w:before="280"/>
      </w:pPr>
      <w:r>
        <w:rPr>
          <w:rFonts w:ascii="Arial" w:cs="Arial" w:eastAsia="Arial" w:hAnsi="Arial"/>
          <w:b/>
          <w:bCs/>
          <w:color w:val="C0335A"/>
          <w:sz w:val="26"/>
          <w:szCs w:val="26"/>
        </w:rPr>
        <w:t xml:space="preserve">2. HIERARQUIA DE DECISÃO DE COMPRA</w:t>
      </w:r>
    </w:p>
    <w:p/>
    <w:p>
      <w:pPr>
        <w:spacing w:after="60" w:before="60"/>
        <w:jc w:val="both"/>
      </w:pPr>
      <w:r>
        <w:rPr>
          <w:rFonts w:ascii="Arial" w:cs="Arial" w:eastAsia="Arial" w:hAnsi="Arial"/>
          <w:color w:val="333333"/>
          <w:sz w:val="21"/>
          <w:szCs w:val="21"/>
        </w:rPr>
        <w:t xml:space="preserve">Em ordem de peso na decisão final:</w:t>
      </w:r>
    </w:p>
    <w:p>
      <w:pPr>
        <w:pStyle w:val="ListParagraph"/>
        <w:numPr>
          <w:ilvl w:val="0"/>
          <w:numId w:val="2"/>
        </w:numPr>
        <w:spacing w:after="40" w:before="40"/>
      </w:pPr>
      <w:r>
        <w:rPr>
          <w:rFonts w:ascii="Arial" w:cs="Arial" w:eastAsia="Arial" w:hAnsi="Arial"/>
          <w:color w:val="333333"/>
          <w:sz w:val="21"/>
          <w:szCs w:val="21"/>
        </w:rPr>
        <w:t xml:space="preserve">1º — Identidade social: o produto representa quem eu sou ou quero ser?</w:t>
      </w:r>
    </w:p>
    <w:p>
      <w:pPr>
        <w:pStyle w:val="ListParagraph"/>
        <w:numPr>
          <w:ilvl w:val="0"/>
          <w:numId w:val="2"/>
        </w:numPr>
        <w:spacing w:after="40" w:before="40"/>
      </w:pPr>
      <w:r>
        <w:rPr>
          <w:rFonts w:ascii="Arial" w:cs="Arial" w:eastAsia="Arial" w:hAnsi="Arial"/>
          <w:color w:val="333333"/>
          <w:sz w:val="21"/>
          <w:szCs w:val="21"/>
        </w:rPr>
        <w:t xml:space="preserve">2º — Peer review: alguém da minha rede confia nesse produto?</w:t>
      </w:r>
    </w:p>
    <w:p>
      <w:pPr>
        <w:pStyle w:val="ListParagraph"/>
        <w:numPr>
          <w:ilvl w:val="0"/>
          <w:numId w:val="2"/>
        </w:numPr>
        <w:spacing w:after="40" w:before="40"/>
      </w:pPr>
      <w:r>
        <w:rPr>
          <w:rFonts w:ascii="Arial" w:cs="Arial" w:eastAsia="Arial" w:hAnsi="Arial"/>
          <w:color w:val="333333"/>
          <w:sz w:val="21"/>
          <w:szCs w:val="21"/>
        </w:rPr>
        <w:t xml:space="preserve">3º — Experiência do produto: o ritual/sabor é realmente bom?</w:t>
      </w:r>
    </w:p>
    <w:p>
      <w:pPr>
        <w:pStyle w:val="ListParagraph"/>
        <w:numPr>
          <w:ilvl w:val="0"/>
          <w:numId w:val="2"/>
        </w:numPr>
        <w:spacing w:after="40" w:before="40"/>
      </w:pPr>
      <w:r>
        <w:rPr>
          <w:rFonts w:ascii="Arial" w:cs="Arial" w:eastAsia="Arial" w:hAnsi="Arial"/>
          <w:color w:val="333333"/>
          <w:sz w:val="21"/>
          <w:szCs w:val="21"/>
        </w:rPr>
        <w:t xml:space="preserve">4º — Estética / "postabilidade": isso vai bem no meu feed?</w:t>
      </w:r>
    </w:p>
    <w:p>
      <w:pPr>
        <w:pStyle w:val="ListParagraph"/>
        <w:numPr>
          <w:ilvl w:val="0"/>
          <w:numId w:val="2"/>
        </w:numPr>
        <w:spacing w:after="40" w:before="40"/>
      </w:pPr>
      <w:r>
        <w:rPr>
          <w:rFonts w:ascii="Arial" w:cs="Arial" w:eastAsia="Arial" w:hAnsi="Arial"/>
          <w:color w:val="333333"/>
          <w:sz w:val="21"/>
          <w:szCs w:val="21"/>
        </w:rPr>
        <w:t xml:space="preserve">5º — Preço: o custo faz sentido para o valor que entrego?</w:t>
      </w:r>
    </w:p>
    <w:p/>
    <w:p>
      <w:pPr>
        <w:pBdr>
          <w:bottom w:val="single" w:color="C0335A" w:sz="3" w:space="1"/>
        </w:pBdr>
        <w:spacing w:after="80" w:before="280"/>
      </w:pPr>
      <w:r>
        <w:rPr>
          <w:rFonts w:ascii="Arial" w:cs="Arial" w:eastAsia="Arial" w:hAnsi="Arial"/>
          <w:b/>
          <w:bCs/>
          <w:color w:val="C0335A"/>
          <w:sz w:val="26"/>
          <w:szCs w:val="26"/>
        </w:rPr>
        <w:t xml:space="preserve">3. LINGUAGEM QUE RESSOA vs. LINGUAGEM QUE AFASTA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RESSOA — USAR</w:t>
            </w:r>
          </w:p>
        </w:tc>
        <w:tc>
          <w:tcPr>
            <w:tcW w:type="dxa" w:w="636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AFASTA — EVITAR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Ritual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Suplemento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Energia limpa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Clinicamente comprovado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Calma produtiva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66mg de cafeína / 250mg de catequinas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Foco sem drama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Alternativa saudável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Pequeno luxo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Super oferta / promoção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Romanticize sua manhã</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Melhor do mercado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Dopamine menu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Disciplina / comprometimento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Main character energy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Substituto do café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Soft life / my way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Hustle culture tóxica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Intencional / analógico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Você PRECISA disso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Glow up / foco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Produto premium superior</w:t>
            </w:r>
          </w:p>
        </w:tc>
      </w:tr>
    </w:tbl>
    <w:p/>
    <w:p>
      <w:pPr>
        <w:pBdr>
          <w:bottom w:val="single" w:color="C0335A" w:sz="3" w:space="1"/>
        </w:pBdr>
        <w:spacing w:after="80" w:before="280"/>
      </w:pPr>
      <w:r>
        <w:rPr>
          <w:rFonts w:ascii="Arial" w:cs="Arial" w:eastAsia="Arial" w:hAnsi="Arial"/>
          <w:b/>
          <w:bCs/>
          <w:color w:val="C0335A"/>
          <w:sz w:val="26"/>
          <w:szCs w:val="26"/>
        </w:rPr>
        <w:t xml:space="preserve">4. REAÇÕES DO CONSUMIDOR SINTÉTICO A DIFERENTES POSICIONAMENTOS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POSICIONAMENTO DA PUSH</w:t>
            </w:r>
          </w:p>
        </w:tc>
        <w:tc>
          <w:tcPr>
            <w:tcW w:type="dxa" w:w="636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REAÇÃO ESPERADA DO CONSUMIDOR SINTÉTICO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"Ritual analógico que substitui o scroll matinal" (anti-brain-rot + ritual + identidade)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MUITO ALTA RECEPTIVIDADE — conecta múltiplas tendências simultaneamente.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"A bebida do seu dopamine menu" (ferramenta de foco)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ALTA RECEPTIVIDADE — linguagem nativa + propósito funcional emocional.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"Meet for Matcha" — drink social sem álcool (sober curious)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ALTA RECEPTIVIDADE — novo contexto de uso, expande identidade de produto.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"Pequeno luxo de R$X por dose" (treatonomics)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ALTA RECEPTIVIDADE — justifica preço premium com framing emocional.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"A bebida do creator / do side hustle matinal"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ALTA RECEPTIVIDADE — conecta trabalho autônomo, produtividade e identidade.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"Alternativa superior ao café" com humor e sem moralização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MÉDIA RECEPTIVIDADE — funciona apenas se sem tom de superioridade.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"Suplemento com 66mg de cafeína"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BAIXA RECEPTIVIDADE — linguagem clínica, ignora identidade, parece remédio.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"Cientificamente comprovado / evidência de saúde"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BAIXA RECEPTIVIDADE — não gera identificação; soa publicitário e distante.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Publicidade paga com macro-influenciador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BAIXA RECEPTIVIDADE — inautenticidade percebida, "parceria comercial óbvia".</w:t>
            </w:r>
          </w:p>
        </w:tc>
      </w:tr>
    </w:tbl>
    <w:p/>
    <w:p>
      <w:pPr>
        <w:pBdr>
          <w:bottom w:val="single" w:color="C0335A" w:sz="3" w:space="1"/>
        </w:pBdr>
        <w:spacing w:after="80" w:before="280"/>
      </w:pPr>
      <w:r>
        <w:rPr>
          <w:rFonts w:ascii="Arial" w:cs="Arial" w:eastAsia="Arial" w:hAnsi="Arial"/>
          <w:b/>
          <w:bCs/>
          <w:color w:val="C0335A"/>
          <w:sz w:val="26"/>
          <w:szCs w:val="26"/>
        </w:rPr>
        <w:t xml:space="preserve">5. BLOCOS DE DADOS PARA ALIMENTAR O CONSUMIDOR SINTÉTICO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238" w:val="clear"/>
            <w:tcMar>
              <w:top w:type="dxa" w:w="80"/>
              <w:left w:type="dxa" w:w="160"/>
              <w:bottom w:type="dxa" w:w="80"/>
              <w:right w:type="dxa" w:w="160"/>
            </w:tcMar>
          </w:tcPr>
          <w:p>
            <w:r>
              <w:rPr>
                <w:rFonts w:ascii="Arial" w:cs="Arial" w:eastAsia="Arial" w:hAnsi="Arial"/>
                <w:b/>
                <w:bCs/>
                <w:color w:val="FFFFFF"/>
                <w:sz w:val="21"/>
                <w:szCs w:val="21"/>
              </w:rPr>
              <w:t xml:space="preserve">BLOCO 1 — INTERESSES E ATIVIDADES EXTRACATEGORIA</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MANHÃ: ritual matinal (matcha, journaling, exercício), dopamine menu, conteúdo educativo.</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TARDE: side hustle, criação de conteúdo, estudo, trabalho flexível.</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NOITE: socialização sober curious, cozy study, rituais analógicos, skincare.</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REDES SOCIAIS: TikTok como busca e entretenimento, Instagram como estética e conexão, YouTube como educação, Discord como comunidade de nicho.</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COMPRAS: social commerce, UGC como decisor principal, micro-influenciadores como referência.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238" w:val="clear"/>
            <w:tcMar>
              <w:top w:type="dxa" w:w="80"/>
              <w:left w:type="dxa" w:w="160"/>
              <w:bottom w:type="dxa" w:w="80"/>
              <w:right w:type="dxa" w:w="160"/>
            </w:tcMar>
          </w:tcPr>
          <w:p>
            <w:r>
              <w:rPr>
                <w:rFonts w:ascii="Arial" w:cs="Arial" w:eastAsia="Arial" w:hAnsi="Arial"/>
                <w:b/>
                <w:bCs/>
                <w:color w:val="FFFFFF"/>
                <w:sz w:val="21"/>
                <w:szCs w:val="21"/>
              </w:rPr>
              <w:t xml:space="preserve">BLOCO 2 — LINGUAGEM EXTRACATEGORIA ACEITA / REJEITADA</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ACEITO: dopamine menu, ritual, main character energy, foco, pequeno luxo, analógico, intencional, meu modo, soft life, glow up, calma produtiva.</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REJEITADO: disciplina militar, hustle culture tóxica, você PRECISA disso, cientificamente comprovado, o melhor do mercado.</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AMBÍGUO (aceito se autêntico, rejeitado se performativo): clean, aesthetic, wellness.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238" w:val="clear"/>
            <w:tcMar>
              <w:top w:type="dxa" w:w="80"/>
              <w:left w:type="dxa" w:w="160"/>
              <w:bottom w:type="dxa" w:w="80"/>
              <w:right w:type="dxa" w:w="160"/>
            </w:tcMar>
          </w:tcPr>
          <w:p>
            <w:r>
              <w:rPr>
                <w:rFonts w:ascii="Arial" w:cs="Arial" w:eastAsia="Arial" w:hAnsi="Arial"/>
                <w:b/>
                <w:bCs/>
                <w:color w:val="FFFFFF"/>
                <w:sz w:val="21"/>
                <w:szCs w:val="21"/>
              </w:rPr>
              <w:t xml:space="preserve">BLOCO 3 — BARREIRAS DE CONVERSÃO A SIMULAR</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CULTURAL: "Não consigo imaginar largando o café... matcha combina com minha rotina?"</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SENSORIAL: "Será que vou gostar? Já tomei matcha e achei muito amargo."</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PRATICIDADE: "Precisa de batedor? Não tenho tempo para isso todo dia."</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PREÇO: "R$X por dose é mais caro do que meu café. Mas... vale a diferença?"</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IDENTIFICAÇÃO: [scroll no post funcional sobre ingredientes] "Isso é muito de suplemento para mim."</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238" w:val="clear"/>
            <w:tcMar>
              <w:top w:type="dxa" w:w="80"/>
              <w:left w:type="dxa" w:w="160"/>
              <w:bottom w:type="dxa" w:w="80"/>
              <w:right w:type="dxa" w:w="160"/>
            </w:tcMar>
          </w:tcPr>
          <w:p>
            <w:r>
              <w:rPr>
                <w:rFonts w:ascii="Arial" w:cs="Arial" w:eastAsia="Arial" w:hAnsi="Arial"/>
                <w:b/>
                <w:bCs/>
                <w:color w:val="FFFFFF"/>
                <w:sz w:val="21"/>
                <w:szCs w:val="21"/>
              </w:rPr>
              <w:t xml:space="preserve">BLOCO 4 — GATILHOS DE CONVERSÃO (QUANDO A RESISTÊNCIA CAI)</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Ver alguém da sua micro-tribo (Clean Girl, ADHD, Cozy Study) usando matcha de forma autêntica.</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Encontrar conteúdo que conecte matcha ao ritual anti-brain-rot ou dopamine menu.</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Receber uma amostra grátis que elimine o risco sensorial da experimentação.</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Ver a justificativa de custo como "R$X por dose vs. R$Y no Starbucks" com humor.</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Ser desafiado por um "30 Days of Push" challenge com comunidade engajada.</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Encontrar o matcha em contexto social sofisticado (happy hour, estudo em grupo, colab com marca de moda).</w:t>
            </w:r>
          </w:p>
        </w:tc>
      </w:tr>
    </w:tbl>
    <w:p/>
    <w:p>
      <w:pPr>
        <w:pBdr>
          <w:bottom w:val="single" w:color="C0335A" w:sz="3" w:space="1"/>
        </w:pBdr>
        <w:spacing w:after="80" w:before="280"/>
      </w:pPr>
      <w:r>
        <w:rPr>
          <w:rFonts w:ascii="Arial" w:cs="Arial" w:eastAsia="Arial" w:hAnsi="Arial"/>
          <w:b/>
          <w:bCs/>
          <w:color w:val="C0335A"/>
          <w:sz w:val="26"/>
          <w:szCs w:val="26"/>
        </w:rPr>
        <w:t xml:space="preserve">6. OS 10 PADRÕES DAS MARCAS GEN Z — APLICAÇÃO PUSH</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PADRÃO</w:t>
            </w:r>
          </w:p>
        </w:tc>
        <w:tc>
          <w:tcPr>
            <w:tcW w:type="dxa" w:w="6360"/>
            <w:tcBorders>
              <w:top w:val="single" w:color="CCCCCC" w:sz="1"/>
              <w:left w:val="single" w:color="CCCCCC" w:sz="1"/>
              <w:bottom w:val="single" w:color="CCCCCC" w:sz="1"/>
              <w:right w:val="single" w:color="CCCCCC" w:sz="1"/>
            </w:tcBorders>
            <w:shd w:fill="1A2238" w:val="clear"/>
            <w:tcMar>
              <w:top w:type="dxa" w:w="80"/>
              <w:left w:type="dxa" w:w="140"/>
              <w:bottom w:type="dxa" w:w="80"/>
              <w:right w:type="dxa" w:w="140"/>
            </w:tcMar>
          </w:tcPr>
          <w:p>
            <w:r>
              <w:rPr>
                <w:rFonts w:ascii="Arial" w:cs="Arial" w:eastAsia="Arial" w:hAnsi="Arial"/>
                <w:b/>
                <w:bCs/>
                <w:color w:val="FFFFFF"/>
                <w:sz w:val="20"/>
                <w:szCs w:val="20"/>
              </w:rPr>
              <w:t xml:space="preserve">APLICAÇÃO PARA A PUSH MATCHA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P1 — Identidade &gt; Produto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Comunicar "quem é a pessoa que bebe matcha" antes de "o que é o matcha".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P2 — Autenticidade &gt; Perfeição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UGC imperfeito e real &gt; produção publicitária polida. Mostrar o preparo com erros e tudo.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P3 — Comunidade &gt; Audiência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Construir uma comunidade Push (Discord, grupo, hashtag) onde consumidores se encontram.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P4 — Entretenimento &gt; Publicidade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Cada post deve ser antes entretenimento (humor, ritual satisfatório, trend) e depois publicidade.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P5 — UGC &gt; Mídia Paga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Investir em ativar UGC dos consumidores é mais eficiente que anúncios pagos para a Gen Z.</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P6 — Ritual &gt; Transação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Vender o ritual da manhã, não a bebida. A compra é consequência do desejo de pertencer ao ritual.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P7 — Velocidade e Tempo Real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Responder DMs e comentários rapidamente. Reagir a trends antes que morram.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P8 — Propósito &gt; Produto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Comunicar o propósito da Push (sourcing sustentável, produtor de 270 anos, energia limpa) de forma nativa.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P9 — Inclusividade &gt; Nicho Fechado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Expandir o matcha de "nicho Clean Girl" para múltiplas tribos sem perder a aspiracionalidade.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bCs/>
                <w:color w:val="333333"/>
                <w:sz w:val="20"/>
                <w:szCs w:val="20"/>
              </w:rPr>
              <w:t xml:space="preserve">P10 — Produto Sustentável &gt; Hype Viral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b w:val="false"/>
                <w:bCs w:val="false"/>
                <w:color w:val="333333"/>
                <w:sz w:val="20"/>
                <w:szCs w:val="20"/>
              </w:rPr>
              <w:t xml:space="preserve">Construir hábito gradual — não depender de virais passageiros que não convertem em recompra.</w:t>
            </w:r>
          </w:p>
        </w:tc>
      </w:tr>
    </w:tbl>
    <w:p>
      <w:r>
        <w:br w:type="page"/>
      </w:r>
    </w:p>
    <w:p>
      <w:pPr>
        <w:pBdr>
          <w:bottom w:val="single" w:color="C0335A" w:sz="6" w:space="2"/>
        </w:pBdr>
        <w:shd w:fill="1A2238" w:val="clear"/>
        <w:spacing w:after="120" w:before="360"/>
        <w:ind w:left="200" w:right="200"/>
      </w:pPr>
      <w:r>
        <w:rPr>
          <w:rFonts w:ascii="Arial" w:cs="Arial" w:eastAsia="Arial" w:hAnsi="Arial"/>
          <w:b/>
          <w:bCs/>
          <w:color w:val="FFFFFF"/>
          <w:sz w:val="34"/>
          <w:szCs w:val="34"/>
        </w:rPr>
        <w:t xml:space="preserve">REFERÊNCIAS BIBLIOGRÁFICAS CONSOLIDADAS</w:t>
      </w:r>
    </w:p>
    <w:p/>
    <w:p>
      <w:pPr>
        <w:spacing w:after="60" w:before="200"/>
      </w:pPr>
      <w:r>
        <w:rPr>
          <w:rFonts w:ascii="Arial" w:cs="Arial" w:eastAsia="Arial" w:hAnsi="Arial"/>
          <w:b/>
          <w:bCs/>
          <w:color w:val="1A2238"/>
          <w:sz w:val="23"/>
          <w:szCs w:val="23"/>
        </w:rPr>
        <w:t xml:space="preserve">Obras Acadêmicas Fundamentais</w:t>
      </w:r>
    </w:p>
    <w:p>
      <w:pPr>
        <w:spacing w:after="40" w:before="40"/>
      </w:pPr>
      <w:r>
        <w:rPr>
          <w:rFonts w:ascii="Arial" w:cs="Arial" w:eastAsia="Arial" w:hAnsi="Arial"/>
          <w:color w:val="444444"/>
          <w:sz w:val="18"/>
          <w:szCs w:val="18"/>
        </w:rPr>
        <w:t xml:space="preserve">ALDERFER, C. P. An empirical test of a new theory of human needs. Organizational Behavior and Human Performance, v. 4, n. 2, p. 142–175, 1969.</w:t>
      </w:r>
    </w:p>
    <w:p>
      <w:pPr>
        <w:spacing w:after="40" w:before="40"/>
      </w:pPr>
      <w:r>
        <w:rPr>
          <w:rFonts w:ascii="Arial" w:cs="Arial" w:eastAsia="Arial" w:hAnsi="Arial"/>
          <w:color w:val="444444"/>
          <w:sz w:val="18"/>
          <w:szCs w:val="18"/>
        </w:rPr>
        <w:t xml:space="preserve">BANDURA, A. Social Learning Theory. Englewood Cliffs: Prentice Hall, 1977.</w:t>
      </w:r>
    </w:p>
    <w:p>
      <w:pPr>
        <w:spacing w:after="40" w:before="40"/>
      </w:pPr>
      <w:r>
        <w:rPr>
          <w:rFonts w:ascii="Arial" w:cs="Arial" w:eastAsia="Arial" w:hAnsi="Arial"/>
          <w:color w:val="444444"/>
          <w:sz w:val="18"/>
          <w:szCs w:val="18"/>
        </w:rPr>
        <w:t xml:space="preserve">BAUDRILLARD, Jean. A sociedade de consumo. Rio de Janeiro: Elfos, 1995.</w:t>
      </w:r>
    </w:p>
    <w:p>
      <w:pPr>
        <w:spacing w:after="40" w:before="40"/>
      </w:pPr>
      <w:r>
        <w:rPr>
          <w:rFonts w:ascii="Arial" w:cs="Arial" w:eastAsia="Arial" w:hAnsi="Arial"/>
          <w:color w:val="444444"/>
          <w:sz w:val="18"/>
          <w:szCs w:val="18"/>
        </w:rPr>
        <w:t xml:space="preserve">BAUMAN, Z. Identidade. Rio de Janeiro: Zahar, 2005.</w:t>
      </w:r>
    </w:p>
    <w:p>
      <w:pPr>
        <w:spacing w:after="40" w:before="40"/>
      </w:pPr>
      <w:r>
        <w:rPr>
          <w:rFonts w:ascii="Arial" w:cs="Arial" w:eastAsia="Arial" w:hAnsi="Arial"/>
          <w:color w:val="444444"/>
          <w:sz w:val="18"/>
          <w:szCs w:val="18"/>
        </w:rPr>
        <w:t xml:space="preserve">BELK, R. W. Possessions and the extended self. Journal of Consumer Research, v. 15, n. 2, p. 139–168, 1988.</w:t>
      </w:r>
    </w:p>
    <w:p>
      <w:pPr>
        <w:spacing w:after="40" w:before="40"/>
      </w:pPr>
      <w:r>
        <w:rPr>
          <w:rFonts w:ascii="Arial" w:cs="Arial" w:eastAsia="Arial" w:hAnsi="Arial"/>
          <w:color w:val="444444"/>
          <w:sz w:val="18"/>
          <w:szCs w:val="18"/>
        </w:rPr>
        <w:t xml:space="preserve">BOURDIEU, P. La Distinction: Critique sociale du jugement. Paris: Les Éditions de Minuit, 1979.</w:t>
      </w:r>
    </w:p>
    <w:p>
      <w:pPr>
        <w:spacing w:after="40" w:before="40"/>
      </w:pPr>
      <w:r>
        <w:rPr>
          <w:rFonts w:ascii="Arial" w:cs="Arial" w:eastAsia="Arial" w:hAnsi="Arial"/>
          <w:color w:val="444444"/>
          <w:sz w:val="18"/>
          <w:szCs w:val="18"/>
        </w:rPr>
        <w:t xml:space="preserve">CAMPBELL, C. The Craft Consumer. Journal of Consumer Culture, 2005.</w:t>
      </w:r>
    </w:p>
    <w:p>
      <w:pPr>
        <w:spacing w:after="40" w:before="40"/>
      </w:pPr>
      <w:r>
        <w:rPr>
          <w:rFonts w:ascii="Arial" w:cs="Arial" w:eastAsia="Arial" w:hAnsi="Arial"/>
          <w:color w:val="444444"/>
          <w:sz w:val="18"/>
          <w:szCs w:val="18"/>
        </w:rPr>
        <w:t xml:space="preserve">CIALDINI, R. B. Influence: The Psychology of Persuasion. New York: HarperCollins, 1984.</w:t>
      </w:r>
    </w:p>
    <w:p>
      <w:pPr>
        <w:spacing w:after="40" w:before="40"/>
      </w:pPr>
      <w:r>
        <w:rPr>
          <w:rFonts w:ascii="Arial" w:cs="Arial" w:eastAsia="Arial" w:hAnsi="Arial"/>
          <w:color w:val="444444"/>
          <w:sz w:val="18"/>
          <w:szCs w:val="18"/>
        </w:rPr>
        <w:t xml:space="preserve">COVA, B.; COVA, V. Tribal marketing. European Journal of Marketing, v. 36, n. 5–6, p. 595–620, 2002.</w:t>
      </w:r>
    </w:p>
    <w:p>
      <w:pPr>
        <w:spacing w:after="40" w:before="40"/>
      </w:pPr>
      <w:r>
        <w:rPr>
          <w:rFonts w:ascii="Arial" w:cs="Arial" w:eastAsia="Arial" w:hAnsi="Arial"/>
          <w:color w:val="444444"/>
          <w:sz w:val="18"/>
          <w:szCs w:val="18"/>
        </w:rPr>
        <w:t xml:space="preserve">DECI, E. L.; RYAN, R. M. Intrinsic Motivation and Self-Determination in Human Behavior. New York: Plenum, 1985.</w:t>
      </w:r>
    </w:p>
    <w:p>
      <w:pPr>
        <w:spacing w:after="40" w:before="40"/>
      </w:pPr>
      <w:r>
        <w:rPr>
          <w:rFonts w:ascii="Arial" w:cs="Arial" w:eastAsia="Arial" w:hAnsi="Arial"/>
          <w:color w:val="444444"/>
          <w:sz w:val="18"/>
          <w:szCs w:val="18"/>
        </w:rPr>
        <w:t xml:space="preserve">DECI, E. L.; RYAN, R. M. The "what" and "why" of goal pursuits. Psychological Inquiry, v. 11, n. 4, p. 227–268, 2000.</w:t>
      </w:r>
    </w:p>
    <w:p>
      <w:pPr>
        <w:spacing w:after="40" w:before="40"/>
      </w:pPr>
      <w:r>
        <w:rPr>
          <w:rFonts w:ascii="Arial" w:cs="Arial" w:eastAsia="Arial" w:hAnsi="Arial"/>
          <w:color w:val="444444"/>
          <w:sz w:val="18"/>
          <w:szCs w:val="18"/>
        </w:rPr>
        <w:t xml:space="preserve">DIMOCK, M. Defining generations: Where Millennials end and Generation Z begins. Pew Research Center, jan. 2019.</w:t>
      </w:r>
    </w:p>
    <w:p>
      <w:pPr>
        <w:spacing w:after="40" w:before="40"/>
      </w:pPr>
      <w:r>
        <w:rPr>
          <w:rFonts w:ascii="Arial" w:cs="Arial" w:eastAsia="Arial" w:hAnsi="Arial"/>
          <w:color w:val="444444"/>
          <w:sz w:val="18"/>
          <w:szCs w:val="18"/>
        </w:rPr>
        <w:t xml:space="preserve">FOUCAULT, M. Surveiller et punir: Naissance de la prison. Paris: Gallimard, 1975.</w:t>
      </w:r>
    </w:p>
    <w:p>
      <w:pPr>
        <w:spacing w:after="40" w:before="40"/>
      </w:pPr>
      <w:r>
        <w:rPr>
          <w:rFonts w:ascii="Arial" w:cs="Arial" w:eastAsia="Arial" w:hAnsi="Arial"/>
          <w:color w:val="444444"/>
          <w:sz w:val="18"/>
          <w:szCs w:val="18"/>
        </w:rPr>
        <w:t xml:space="preserve">FRANCIS, T.; HOEFEL, F. "True Gen": Generation Z and its implications for companies. McKinsey Insights, nov. 2018.</w:t>
      </w:r>
    </w:p>
    <w:p>
      <w:pPr>
        <w:spacing w:after="40" w:before="40"/>
      </w:pPr>
      <w:r>
        <w:rPr>
          <w:rFonts w:ascii="Arial" w:cs="Arial" w:eastAsia="Arial" w:hAnsi="Arial"/>
          <w:color w:val="444444"/>
          <w:sz w:val="18"/>
          <w:szCs w:val="18"/>
        </w:rPr>
        <w:t xml:space="preserve">GABRIELOVA, K.; BUCHKO, A. Here comes Generation Z: Millennials as managers. Business Horizons, v. 64, n. 4, p. 489–499, 2021.</w:t>
      </w:r>
    </w:p>
    <w:p>
      <w:pPr>
        <w:spacing w:after="40" w:before="40"/>
      </w:pPr>
      <w:r>
        <w:rPr>
          <w:rFonts w:ascii="Arial" w:cs="Arial" w:eastAsia="Arial" w:hAnsi="Arial"/>
          <w:color w:val="444444"/>
          <w:sz w:val="18"/>
          <w:szCs w:val="18"/>
        </w:rPr>
        <w:t xml:space="preserve">GIDDENS, A. Modernity and Self-Identity. Cambridge: Polity Press, 1991.</w:t>
      </w:r>
    </w:p>
    <w:p>
      <w:pPr>
        <w:spacing w:after="40" w:before="40"/>
      </w:pPr>
      <w:r>
        <w:rPr>
          <w:rFonts w:ascii="Arial" w:cs="Arial" w:eastAsia="Arial" w:hAnsi="Arial"/>
          <w:color w:val="444444"/>
          <w:sz w:val="18"/>
          <w:szCs w:val="18"/>
        </w:rPr>
        <w:t xml:space="preserve">GOFFMAN, E. The Presentation of Self in Everyday Life. New York: Doubleday Anchor, 1959.</w:t>
      </w:r>
    </w:p>
    <w:p>
      <w:pPr>
        <w:spacing w:after="40" w:before="40"/>
      </w:pPr>
      <w:r>
        <w:rPr>
          <w:rFonts w:ascii="Arial" w:cs="Arial" w:eastAsia="Arial" w:hAnsi="Arial"/>
          <w:color w:val="444444"/>
          <w:sz w:val="18"/>
          <w:szCs w:val="18"/>
        </w:rPr>
        <w:t xml:space="preserve">KAHNEMAN, D. Thinking, Fast and Slow. New York: Farrar, Straus and Giroux, 2011.</w:t>
      </w:r>
    </w:p>
    <w:p>
      <w:pPr>
        <w:spacing w:after="40" w:before="40"/>
      </w:pPr>
      <w:r>
        <w:rPr>
          <w:rFonts w:ascii="Arial" w:cs="Arial" w:eastAsia="Arial" w:hAnsi="Arial"/>
          <w:color w:val="444444"/>
          <w:sz w:val="18"/>
          <w:szCs w:val="18"/>
        </w:rPr>
        <w:t xml:space="preserve">KAHNEMAN, D.; TVERSKY, A. Prospect Theory. Econometrica, v. 47, n. 2, p. 263–291, 1979.</w:t>
      </w:r>
    </w:p>
    <w:p>
      <w:pPr>
        <w:spacing w:after="40" w:before="40"/>
      </w:pPr>
      <w:r>
        <w:rPr>
          <w:rFonts w:ascii="Arial" w:cs="Arial" w:eastAsia="Arial" w:hAnsi="Arial"/>
          <w:color w:val="444444"/>
          <w:sz w:val="18"/>
          <w:szCs w:val="18"/>
        </w:rPr>
        <w:t xml:space="preserve">KARÁCSONY, P. et al. Generation Z in the Workplace. In: Central European Conference on Logistics, 2020.</w:t>
      </w:r>
    </w:p>
    <w:p>
      <w:pPr>
        <w:spacing w:after="40" w:before="40"/>
      </w:pPr>
      <w:r>
        <w:rPr>
          <w:rFonts w:ascii="Arial" w:cs="Arial" w:eastAsia="Arial" w:hAnsi="Arial"/>
          <w:color w:val="444444"/>
          <w:sz w:val="18"/>
          <w:szCs w:val="18"/>
        </w:rPr>
        <w:t xml:space="preserve">LUPTON, D. The Quantified Self. Cambridge: Polity Press, 2016.</w:t>
      </w:r>
    </w:p>
    <w:p>
      <w:pPr>
        <w:spacing w:after="40" w:before="40"/>
      </w:pPr>
      <w:r>
        <w:rPr>
          <w:rFonts w:ascii="Arial" w:cs="Arial" w:eastAsia="Arial" w:hAnsi="Arial"/>
          <w:color w:val="444444"/>
          <w:sz w:val="18"/>
          <w:szCs w:val="18"/>
        </w:rPr>
        <w:t xml:space="preserve">MASLOW, A. H. A theory of human motivation. Psychological Review, v. 50, n. 4, p. 370–396, 1943.</w:t>
      </w:r>
    </w:p>
    <w:p>
      <w:pPr>
        <w:spacing w:after="40" w:before="40"/>
      </w:pPr>
      <w:r>
        <w:rPr>
          <w:rFonts w:ascii="Arial" w:cs="Arial" w:eastAsia="Arial" w:hAnsi="Arial"/>
          <w:color w:val="444444"/>
          <w:sz w:val="18"/>
          <w:szCs w:val="18"/>
        </w:rPr>
        <w:t xml:space="preserve">PINE, B. J.; GILMORE, J. H. The Experience Economy. Boston: Harvard Business School Press, 1999.</w:t>
      </w:r>
    </w:p>
    <w:p>
      <w:pPr>
        <w:spacing w:after="40" w:before="40"/>
      </w:pPr>
      <w:r>
        <w:rPr>
          <w:rFonts w:ascii="Arial" w:cs="Arial" w:eastAsia="Arial" w:hAnsi="Arial"/>
          <w:color w:val="444444"/>
          <w:sz w:val="18"/>
          <w:szCs w:val="18"/>
        </w:rPr>
        <w:t xml:space="preserve">PRZYBYLSKI, A. K. et al. Motivational, emotional, and behavioral correlates of fear of missing out. Computers in Human Behavior, v. 29, n. 4, p. 1841–1848, 2013.</w:t>
      </w:r>
    </w:p>
    <w:p>
      <w:pPr>
        <w:spacing w:after="40" w:before="40"/>
      </w:pPr>
      <w:r>
        <w:rPr>
          <w:rFonts w:ascii="Arial" w:cs="Arial" w:eastAsia="Arial" w:hAnsi="Arial"/>
          <w:color w:val="444444"/>
          <w:sz w:val="18"/>
          <w:szCs w:val="18"/>
        </w:rPr>
        <w:t xml:space="preserve">SELIGMAN, M. E. P.; CSIKSZENTMIHALYI, M. Positive psychology: An introduction. American Psychologist, v. 55, n. 1, p. 5–14, 2000.</w:t>
      </w:r>
    </w:p>
    <w:p>
      <w:pPr>
        <w:spacing w:after="40" w:before="40"/>
      </w:pPr>
      <w:r>
        <w:rPr>
          <w:rFonts w:ascii="Arial" w:cs="Arial" w:eastAsia="Arial" w:hAnsi="Arial"/>
          <w:color w:val="444444"/>
          <w:sz w:val="18"/>
          <w:szCs w:val="18"/>
        </w:rPr>
        <w:t xml:space="preserve">SHOVE, E.; PANTZAR, M.; WATSON, M. The Dynamics of Social Practice. London: Sage, 2012.</w:t>
      </w:r>
    </w:p>
    <w:p>
      <w:pPr>
        <w:spacing w:after="40" w:before="40"/>
      </w:pPr>
      <w:r>
        <w:rPr>
          <w:rFonts w:ascii="Arial" w:cs="Arial" w:eastAsia="Arial" w:hAnsi="Arial"/>
          <w:color w:val="444444"/>
          <w:sz w:val="18"/>
          <w:szCs w:val="18"/>
        </w:rPr>
        <w:t xml:space="preserve">STRAUSS, W.; HOWE, N. Generations: The History of America's Future. New York: William Morrow, 1991.</w:t>
      </w:r>
    </w:p>
    <w:p>
      <w:pPr>
        <w:spacing w:after="40" w:before="40"/>
      </w:pPr>
      <w:r>
        <w:rPr>
          <w:rFonts w:ascii="Arial" w:cs="Arial" w:eastAsia="Arial" w:hAnsi="Arial"/>
          <w:color w:val="444444"/>
          <w:sz w:val="18"/>
          <w:szCs w:val="18"/>
        </w:rPr>
        <w:t xml:space="preserve">TAJFEL, H.; TURNER, J. C. An integrative theory of intergroup conflict. In: The Social Psychology of Intergroup Relations. Monterey: Brooks/Cole, 1979.</w:t>
      </w:r>
    </w:p>
    <w:p>
      <w:pPr>
        <w:spacing w:after="40" w:before="40"/>
      </w:pPr>
      <w:r>
        <w:rPr>
          <w:rFonts w:ascii="Arial" w:cs="Arial" w:eastAsia="Arial" w:hAnsi="Arial"/>
          <w:color w:val="444444"/>
          <w:sz w:val="18"/>
          <w:szCs w:val="18"/>
        </w:rPr>
        <w:t xml:space="preserve">THALER, R. H.; SUNSTEIN, C. R. Nudge. New Haven: Yale University Press, 2008.</w:t>
      </w:r>
    </w:p>
    <w:p/>
    <w:p>
      <w:pPr>
        <w:spacing w:after="60" w:before="200"/>
      </w:pPr>
      <w:r>
        <w:rPr>
          <w:rFonts w:ascii="Arial" w:cs="Arial" w:eastAsia="Arial" w:hAnsi="Arial"/>
          <w:b/>
          <w:bCs/>
          <w:color w:val="1A2238"/>
          <w:sz w:val="23"/>
          <w:szCs w:val="23"/>
        </w:rPr>
        <w:t xml:space="preserve">Relatórios, Pesquisas Setoriais e Fontes Digitais</w:t>
      </w:r>
    </w:p>
    <w:p>
      <w:pPr>
        <w:spacing w:after="40" w:before="40"/>
      </w:pPr>
      <w:r>
        <w:rPr>
          <w:rFonts w:ascii="Arial" w:cs="Arial" w:eastAsia="Arial" w:hAnsi="Arial"/>
          <w:color w:val="444444"/>
          <w:sz w:val="18"/>
          <w:szCs w:val="18"/>
        </w:rPr>
        <w:t xml:space="preserve">ALLIED MARKET RESEARCH. Matcha Market Global Opportunity Analysis and Industry Forecast, 2021–2031. Portland: AMR, 2023.</w:t>
      </w:r>
    </w:p>
    <w:p>
      <w:pPr>
        <w:spacing w:after="40" w:before="40"/>
      </w:pPr>
      <w:r>
        <w:rPr>
          <w:rFonts w:ascii="Arial" w:cs="Arial" w:eastAsia="Arial" w:hAnsi="Arial"/>
          <w:color w:val="444444"/>
          <w:sz w:val="18"/>
          <w:szCs w:val="18"/>
        </w:rPr>
        <w:t xml:space="preserve">AMERICAN PSYCHOLOGICAL ASSOCIATION. Meta-análise de 71 estudos sobre short-form video e declínio cognitivo. APA, 2025.</w:t>
      </w:r>
    </w:p>
    <w:p>
      <w:pPr>
        <w:spacing w:after="40" w:before="40"/>
      </w:pPr>
      <w:r>
        <w:rPr>
          <w:rFonts w:ascii="Arial" w:cs="Arial" w:eastAsia="Arial" w:hAnsi="Arial"/>
          <w:color w:val="444444"/>
          <w:sz w:val="18"/>
          <w:szCs w:val="18"/>
        </w:rPr>
        <w:t xml:space="preserve">BILLO. 42 Surprising UGC Statistics You Can't Afford to Ignore. 2025. Disponível em: billo.app.</w:t>
      </w:r>
    </w:p>
    <w:p>
      <w:pPr>
        <w:spacing w:after="40" w:before="40"/>
      </w:pPr>
      <w:r>
        <w:rPr>
          <w:rFonts w:ascii="Arial" w:cs="Arial" w:eastAsia="Arial" w:hAnsi="Arial"/>
          <w:color w:val="444444"/>
          <w:sz w:val="18"/>
          <w:szCs w:val="18"/>
        </w:rPr>
        <w:t xml:space="preserve">CECAFÉ. Relatório de exportações de café do Brasil 2024/2025.</w:t>
      </w:r>
    </w:p>
    <w:p>
      <w:pPr>
        <w:spacing w:after="40" w:before="40"/>
      </w:pPr>
      <w:r>
        <w:rPr>
          <w:rFonts w:ascii="Arial" w:cs="Arial" w:eastAsia="Arial" w:hAnsi="Arial"/>
          <w:color w:val="444444"/>
          <w:sz w:val="18"/>
          <w:szCs w:val="18"/>
        </w:rPr>
        <w:t xml:space="preserve">CONVERSION / mLabs. A Nova Jornada de Compra: como diferentes faixas etárias se comportam. São Paulo, nov. 2025.</w:t>
      </w:r>
    </w:p>
    <w:p>
      <w:pPr>
        <w:spacing w:after="40" w:before="40"/>
      </w:pPr>
      <w:r>
        <w:rPr>
          <w:rFonts w:ascii="Arial" w:cs="Arial" w:eastAsia="Arial" w:hAnsi="Arial"/>
          <w:color w:val="444444"/>
          <w:sz w:val="18"/>
          <w:szCs w:val="18"/>
        </w:rPr>
        <w:t xml:space="preserve">DATASSENTIAL. Non-Alcoholic Beverage Trends 2026.</w:t>
      </w:r>
    </w:p>
    <w:p>
      <w:pPr>
        <w:spacing w:after="40" w:before="40"/>
      </w:pPr>
      <w:r>
        <w:rPr>
          <w:rFonts w:ascii="Arial" w:cs="Arial" w:eastAsia="Arial" w:hAnsi="Arial"/>
          <w:color w:val="444444"/>
          <w:sz w:val="18"/>
          <w:szCs w:val="18"/>
        </w:rPr>
        <w:t xml:space="preserve">DELOITTE. 2023 Global Gen Z and Millennial Survey. London: Deloitte, 2023.</w:t>
      </w:r>
    </w:p>
    <w:p>
      <w:pPr>
        <w:spacing w:after="40" w:before="40"/>
      </w:pPr>
      <w:r>
        <w:rPr>
          <w:rFonts w:ascii="Arial" w:cs="Arial" w:eastAsia="Arial" w:hAnsi="Arial"/>
          <w:color w:val="444444"/>
          <w:sz w:val="18"/>
          <w:szCs w:val="18"/>
        </w:rPr>
        <w:t xml:space="preserve">EDELMAN. 2022/2023 Trust Barometer. New York: Edelman.</w:t>
      </w:r>
    </w:p>
    <w:p>
      <w:pPr>
        <w:spacing w:after="40" w:before="40"/>
      </w:pPr>
      <w:r>
        <w:rPr>
          <w:rFonts w:ascii="Arial" w:cs="Arial" w:eastAsia="Arial" w:hAnsi="Arial"/>
          <w:color w:val="444444"/>
          <w:sz w:val="18"/>
          <w:szCs w:val="18"/>
        </w:rPr>
        <w:t xml:space="preserve">EMBEDSOCIAL. 41 User-Generated Content Statistics for Better UGC Marketing in 2026. 2026.</w:t>
      </w:r>
    </w:p>
    <w:p>
      <w:pPr>
        <w:spacing w:after="40" w:before="40"/>
      </w:pPr>
      <w:r>
        <w:rPr>
          <w:rFonts w:ascii="Arial" w:cs="Arial" w:eastAsia="Arial" w:hAnsi="Arial"/>
          <w:color w:val="444444"/>
          <w:sz w:val="18"/>
          <w:szCs w:val="18"/>
        </w:rPr>
        <w:t xml:space="preserve">EUROMONITOR INTERNATIONAL. Gen Z beverage trends 2025.</w:t>
      </w:r>
    </w:p>
    <w:p>
      <w:pPr>
        <w:spacing w:after="40" w:before="40"/>
      </w:pPr>
      <w:r>
        <w:rPr>
          <w:rFonts w:ascii="Arial" w:cs="Arial" w:eastAsia="Arial" w:hAnsi="Arial"/>
          <w:color w:val="444444"/>
          <w:sz w:val="18"/>
          <w:szCs w:val="18"/>
        </w:rPr>
        <w:t xml:space="preserve">FACTMR. Matcha Market: Global Market Analysis Report, 2035.</w:t>
      </w:r>
    </w:p>
    <w:p>
      <w:pPr>
        <w:spacing w:after="40" w:before="40"/>
      </w:pPr>
      <w:r>
        <w:rPr>
          <w:rFonts w:ascii="Arial" w:cs="Arial" w:eastAsia="Arial" w:hAnsi="Arial"/>
          <w:color w:val="444444"/>
          <w:sz w:val="18"/>
          <w:szCs w:val="18"/>
        </w:rPr>
        <w:t xml:space="preserve">FOODMINDS. What Gen Z Trends Reveal About Changing Consumer Values. 2022.</w:t>
      </w:r>
    </w:p>
    <w:p>
      <w:pPr>
        <w:spacing w:after="40" w:before="40"/>
      </w:pPr>
      <w:r>
        <w:rPr>
          <w:rFonts w:ascii="Arial" w:cs="Arial" w:eastAsia="Arial" w:hAnsi="Arial"/>
          <w:color w:val="444444"/>
          <w:sz w:val="18"/>
          <w:szCs w:val="18"/>
        </w:rPr>
        <w:t xml:space="preserve">GALLUP. Alcoholic Beverage Consumption Survey. Jul. 2025.</w:t>
      </w:r>
    </w:p>
    <w:p>
      <w:pPr>
        <w:spacing w:after="40" w:before="40"/>
      </w:pPr>
      <w:r>
        <w:rPr>
          <w:rFonts w:ascii="Arial" w:cs="Arial" w:eastAsia="Arial" w:hAnsi="Arial"/>
          <w:color w:val="444444"/>
          <w:sz w:val="18"/>
          <w:szCs w:val="18"/>
        </w:rPr>
        <w:t xml:space="preserve">GRAND VIEW RESEARCH. Functional Beverages Market Size, Share &amp; Trends Analysis Report, 2023–2030.</w:t>
      </w:r>
    </w:p>
    <w:p>
      <w:pPr>
        <w:spacing w:after="40" w:before="40"/>
      </w:pPr>
      <w:r>
        <w:rPr>
          <w:rFonts w:ascii="Arial" w:cs="Arial" w:eastAsia="Arial" w:hAnsi="Arial"/>
          <w:color w:val="444444"/>
          <w:sz w:val="18"/>
          <w:szCs w:val="18"/>
        </w:rPr>
        <w:t xml:space="preserve">GRIN. Gen Z Product Discovery Study. 2025.</w:t>
      </w:r>
    </w:p>
    <w:p>
      <w:pPr>
        <w:spacing w:after="40" w:before="40"/>
      </w:pPr>
      <w:r>
        <w:rPr>
          <w:rFonts w:ascii="Arial" w:cs="Arial" w:eastAsia="Arial" w:hAnsi="Arial"/>
          <w:color w:val="444444"/>
          <w:sz w:val="18"/>
          <w:szCs w:val="18"/>
        </w:rPr>
        <w:t xml:space="preserve">IAC-APTA / UNICAMP / INSTITUTO AXXUS. Evolução dos Hábitos e Preferências dos Consumidores de Café no Brasil. 2019–2023.</w:t>
      </w:r>
    </w:p>
    <w:p>
      <w:pPr>
        <w:spacing w:after="40" w:before="40"/>
      </w:pPr>
      <w:r>
        <w:rPr>
          <w:rFonts w:ascii="Arial" w:cs="Arial" w:eastAsia="Arial" w:hAnsi="Arial"/>
          <w:color w:val="444444"/>
          <w:sz w:val="18"/>
          <w:szCs w:val="18"/>
        </w:rPr>
        <w:t xml:space="preserve">INFLUENCER MARKETING HUB. The State of Influencer Marketing 2023.</w:t>
      </w:r>
    </w:p>
    <w:p>
      <w:pPr>
        <w:spacing w:after="40" w:before="40"/>
      </w:pPr>
      <w:r>
        <w:rPr>
          <w:rFonts w:ascii="Arial" w:cs="Arial" w:eastAsia="Arial" w:hAnsi="Arial"/>
          <w:color w:val="444444"/>
          <w:sz w:val="18"/>
          <w:szCs w:val="18"/>
        </w:rPr>
        <w:t xml:space="preserve">INGREDION. Less mystery, more meaning: Clean labels win consumer preference. 2025.</w:t>
      </w:r>
    </w:p>
    <w:p>
      <w:pPr>
        <w:spacing w:after="40" w:before="40"/>
      </w:pPr>
      <w:r>
        <w:rPr>
          <w:rFonts w:ascii="Arial" w:cs="Arial" w:eastAsia="Arial" w:hAnsi="Arial"/>
          <w:color w:val="444444"/>
          <w:sz w:val="18"/>
          <w:szCs w:val="18"/>
        </w:rPr>
        <w:t xml:space="preserve">INNOVA MARKET INSIGHTS. Gen Z Food Trends: Global Market Overview. Jan. 2026.</w:t>
      </w:r>
    </w:p>
    <w:p>
      <w:pPr>
        <w:spacing w:after="40" w:before="40"/>
      </w:pPr>
      <w:r>
        <w:rPr>
          <w:rFonts w:ascii="Arial" w:cs="Arial" w:eastAsia="Arial" w:hAnsi="Arial"/>
          <w:color w:val="444444"/>
          <w:sz w:val="18"/>
          <w:szCs w:val="18"/>
        </w:rPr>
        <w:t xml:space="preserve">INTUIT. The Side Hustle Generation. Nov. 2025.</w:t>
      </w:r>
    </w:p>
    <w:p>
      <w:pPr>
        <w:spacing w:after="40" w:before="40"/>
      </w:pPr>
      <w:r>
        <w:rPr>
          <w:rFonts w:ascii="Arial" w:cs="Arial" w:eastAsia="Arial" w:hAnsi="Arial"/>
          <w:color w:val="444444"/>
          <w:sz w:val="18"/>
          <w:szCs w:val="18"/>
        </w:rPr>
        <w:t xml:space="preserve">KOLSQUARE. Understanding User Generated Content (UGC) in 2024.</w:t>
      </w:r>
    </w:p>
    <w:p>
      <w:pPr>
        <w:spacing w:after="40" w:before="40"/>
      </w:pPr>
      <w:r>
        <w:rPr>
          <w:rFonts w:ascii="Arial" w:cs="Arial" w:eastAsia="Arial" w:hAnsi="Arial"/>
          <w:color w:val="444444"/>
          <w:sz w:val="18"/>
          <w:szCs w:val="18"/>
        </w:rPr>
        <w:t xml:space="preserve">LEGER 360. Beyond the Buzz: Sober Curious 2025.</w:t>
      </w:r>
    </w:p>
    <w:p>
      <w:pPr>
        <w:spacing w:after="40" w:before="40"/>
      </w:pPr>
      <w:r>
        <w:rPr>
          <w:rFonts w:ascii="Arial" w:cs="Arial" w:eastAsia="Arial" w:hAnsi="Arial"/>
          <w:color w:val="444444"/>
          <w:sz w:val="18"/>
          <w:szCs w:val="18"/>
        </w:rPr>
        <w:t xml:space="preserve">MIJRD JOURNAL. A Qualitative Exploration of Challenges in Engaging Generation Z. v. 4, n. 6, 2025.</w:t>
      </w:r>
    </w:p>
    <w:p>
      <w:pPr>
        <w:spacing w:after="40" w:before="40"/>
      </w:pPr>
      <w:r>
        <w:rPr>
          <w:rFonts w:ascii="Arial" w:cs="Arial" w:eastAsia="Arial" w:hAnsi="Arial"/>
          <w:color w:val="444444"/>
          <w:sz w:val="18"/>
          <w:szCs w:val="18"/>
        </w:rPr>
        <w:t xml:space="preserve">MINTEL. Gen Z: The Sober Curious Generation. Fev. 2026.</w:t>
      </w:r>
    </w:p>
    <w:p>
      <w:pPr>
        <w:spacing w:after="40" w:before="40"/>
      </w:pPr>
      <w:r>
        <w:rPr>
          <w:rFonts w:ascii="Arial" w:cs="Arial" w:eastAsia="Arial" w:hAnsi="Arial"/>
          <w:color w:val="444444"/>
          <w:sz w:val="18"/>
          <w:szCs w:val="18"/>
        </w:rPr>
        <w:t xml:space="preserve">MORDOR INTELLIGENCE. Matcha Market Size, Share &amp; Growth. 2026.</w:t>
      </w:r>
    </w:p>
    <w:p>
      <w:pPr>
        <w:spacing w:after="40" w:before="40"/>
      </w:pPr>
      <w:r>
        <w:rPr>
          <w:rFonts w:ascii="Arial" w:cs="Arial" w:eastAsia="Arial" w:hAnsi="Arial"/>
          <w:color w:val="444444"/>
          <w:sz w:val="18"/>
          <w:szCs w:val="18"/>
        </w:rPr>
        <w:t xml:space="preserve">NATIONAL GEOGRAPHIC. How Gen Z is fighting back against digital brain rot. Dez. 2025.</w:t>
      </w:r>
    </w:p>
    <w:p>
      <w:pPr>
        <w:spacing w:after="40" w:before="40"/>
      </w:pPr>
      <w:r>
        <w:rPr>
          <w:rFonts w:ascii="Arial" w:cs="Arial" w:eastAsia="Arial" w:hAnsi="Arial"/>
          <w:color w:val="444444"/>
          <w:sz w:val="18"/>
          <w:szCs w:val="18"/>
        </w:rPr>
        <w:t xml:space="preserve">NCSOLUTIONS/CIRCANA. Americans Plan to Drink Less. Jan. 2025, atualizado 2026.</w:t>
      </w:r>
    </w:p>
    <w:p>
      <w:pPr>
        <w:spacing w:after="40" w:before="40"/>
      </w:pPr>
      <w:r>
        <w:rPr>
          <w:rFonts w:ascii="Arial" w:cs="Arial" w:eastAsia="Arial" w:hAnsi="Arial"/>
          <w:color w:val="444444"/>
          <w:sz w:val="18"/>
          <w:szCs w:val="18"/>
        </w:rPr>
        <w:t xml:space="preserve">NIELSEN. Trust in Advertising 2021. / Sustainability &amp; the Gen Z Shopper 2023.</w:t>
      </w:r>
    </w:p>
    <w:p>
      <w:pPr>
        <w:spacing w:after="40" w:before="40"/>
      </w:pPr>
      <w:r>
        <w:rPr>
          <w:rFonts w:ascii="Arial" w:cs="Arial" w:eastAsia="Arial" w:hAnsi="Arial"/>
          <w:color w:val="444444"/>
          <w:sz w:val="18"/>
          <w:szCs w:val="18"/>
        </w:rPr>
        <w:t xml:space="preserve">NUTRIENTS / MDPI. Investigating the Consumer Choices of Gen Z: A Sustainable Food System Perspective. Fev. 2025.</w:t>
      </w:r>
    </w:p>
    <w:p>
      <w:pPr>
        <w:spacing w:after="40" w:before="40"/>
      </w:pPr>
      <w:r>
        <w:rPr>
          <w:rFonts w:ascii="Arial" w:cs="Arial" w:eastAsia="Arial" w:hAnsi="Arial"/>
          <w:color w:val="444444"/>
          <w:sz w:val="18"/>
          <w:szCs w:val="18"/>
        </w:rPr>
        <w:t xml:space="preserve">OFCOM. TikTok and Instagram as primary search channels for Gen Z. 2024.</w:t>
      </w:r>
    </w:p>
    <w:p>
      <w:pPr>
        <w:spacing w:after="40" w:before="40"/>
      </w:pPr>
      <w:r>
        <w:rPr>
          <w:rFonts w:ascii="Arial" w:cs="Arial" w:eastAsia="Arial" w:hAnsi="Arial"/>
          <w:color w:val="444444"/>
          <w:sz w:val="18"/>
          <w:szCs w:val="18"/>
        </w:rPr>
        <w:t xml:space="preserve">OPINION BOX. Comportamento digital de jovens brasileiros. Apud: Publya.com, 2025.</w:t>
      </w:r>
    </w:p>
    <w:p>
      <w:pPr>
        <w:spacing w:after="40" w:before="40"/>
      </w:pPr>
      <w:r>
        <w:rPr>
          <w:rFonts w:ascii="Arial" w:cs="Arial" w:eastAsia="Arial" w:hAnsi="Arial"/>
          <w:color w:val="444444"/>
          <w:sz w:val="18"/>
          <w:szCs w:val="18"/>
        </w:rPr>
        <w:t xml:space="preserve">ORGANICOM (USP). Geração Z e consumo com propósito. Revista Organicom, USP, 2024.</w:t>
      </w:r>
    </w:p>
    <w:p>
      <w:pPr>
        <w:spacing w:after="40" w:before="40"/>
      </w:pPr>
      <w:r>
        <w:rPr>
          <w:rFonts w:ascii="Arial" w:cs="Arial" w:eastAsia="Arial" w:hAnsi="Arial"/>
          <w:color w:val="444444"/>
          <w:sz w:val="18"/>
          <w:szCs w:val="18"/>
        </w:rPr>
        <w:t xml:space="preserve">RUA DO CAFÉ. Como os jovens estão mudando o consumo de café no Brasil. Jan. 2026.</w:t>
      </w:r>
    </w:p>
    <w:p>
      <w:pPr>
        <w:spacing w:after="40" w:before="40"/>
      </w:pPr>
      <w:r>
        <w:rPr>
          <w:rFonts w:ascii="Arial" w:cs="Arial" w:eastAsia="Arial" w:hAnsi="Arial"/>
          <w:color w:val="444444"/>
          <w:sz w:val="18"/>
          <w:szCs w:val="18"/>
        </w:rPr>
        <w:t xml:space="preserve">SOCIALTARGETER. Exploring the Psychological Impact of UGC on Gen Z Purchasing Decisions. 2024.</w:t>
      </w:r>
    </w:p>
    <w:p>
      <w:pPr>
        <w:spacing w:after="40" w:before="40"/>
      </w:pPr>
      <w:r>
        <w:rPr>
          <w:rFonts w:ascii="Arial" w:cs="Arial" w:eastAsia="Arial" w:hAnsi="Arial"/>
          <w:color w:val="444444"/>
          <w:sz w:val="18"/>
          <w:szCs w:val="18"/>
        </w:rPr>
        <w:t xml:space="preserve">SPROUT SOCIAL. 2025 Impact of Social Media Report / Q2 2025 Pulse Survey.</w:t>
      </w:r>
    </w:p>
    <w:p>
      <w:pPr>
        <w:spacing w:after="40" w:before="40"/>
      </w:pPr>
      <w:r>
        <w:rPr>
          <w:rFonts w:ascii="Arial" w:cs="Arial" w:eastAsia="Arial" w:hAnsi="Arial"/>
          <w:color w:val="444444"/>
          <w:sz w:val="18"/>
          <w:szCs w:val="18"/>
        </w:rPr>
        <w:t xml:space="preserve">TASTEWISE. Gen Z Eating Habits: 2026 Data, Trends, and Takeaways. Jan. 2026.</w:t>
      </w:r>
    </w:p>
    <w:p>
      <w:pPr>
        <w:spacing w:after="40" w:before="40"/>
      </w:pPr>
      <w:r>
        <w:rPr>
          <w:rFonts w:ascii="Arial" w:cs="Arial" w:eastAsia="Arial" w:hAnsi="Arial"/>
          <w:color w:val="444444"/>
          <w:sz w:val="18"/>
          <w:szCs w:val="18"/>
        </w:rPr>
        <w:t xml:space="preserve">TIKTOK. TikTok Next 2026 — Relatório oficial de tendências. / Matcha Category Trends Report 2024.</w:t>
      </w:r>
    </w:p>
    <w:p>
      <w:pPr>
        <w:spacing w:after="40" w:before="40"/>
      </w:pPr>
      <w:r>
        <w:rPr>
          <w:rFonts w:ascii="Arial" w:cs="Arial" w:eastAsia="Arial" w:hAnsi="Arial"/>
          <w:color w:val="444444"/>
          <w:sz w:val="18"/>
          <w:szCs w:val="18"/>
        </w:rPr>
        <w:t xml:space="preserve">VERIFIED MARKET RESEARCH. Matcha Tea Market Size, Share, Growth, Trends &amp; Forecast. Nov. 2025.</w:t>
      </w:r>
    </w:p>
    <w:p>
      <w:pPr>
        <w:spacing w:after="40" w:before="40"/>
      </w:pPr>
      <w:r>
        <w:rPr>
          <w:rFonts w:ascii="Arial" w:cs="Arial" w:eastAsia="Arial" w:hAnsi="Arial"/>
          <w:color w:val="444444"/>
          <w:sz w:val="18"/>
          <w:szCs w:val="18"/>
        </w:rPr>
        <w:t xml:space="preserve">VML. The Future 100: Gen Z Trends &amp; Insights 2026. Fev. 2026.</w:t>
      </w:r>
    </w:p>
    <w:p>
      <w:pPr>
        <w:spacing w:after="40" w:before="40"/>
      </w:pPr>
      <w:r>
        <w:rPr>
          <w:rFonts w:ascii="Arial" w:cs="Arial" w:eastAsia="Arial" w:hAnsi="Arial"/>
          <w:color w:val="444444"/>
          <w:sz w:val="18"/>
          <w:szCs w:val="18"/>
        </w:rPr>
        <w:t xml:space="preserve">WORLDPANEL BY NUMERATOR. Tendências que Moldarão o Consumo no Brasil em 2026. Jan. 2026.</w:t>
      </w:r>
    </w:p>
    <w:p/>
    <w:p>
      <w:pPr>
        <w:pBdr>
          <w:top w:val="single" w:color="C0335A" w:sz="4" w:space="2"/>
        </w:pBdr>
        <w:spacing w:after="80" w:before="160"/>
        <w:jc w:val="center"/>
      </w:pPr>
      <w:r>
        <w:rPr>
          <w:rFonts w:ascii="Arial" w:cs="Arial" w:eastAsia="Arial" w:hAnsi="Arial"/>
          <w:i/>
          <w:iCs/>
          <w:color w:val="888888"/>
          <w:sz w:val="18"/>
          <w:szCs w:val="18"/>
        </w:rPr>
        <w:t xml:space="preserve">Consultoria FGV · Push Matcha · Entregável 2 — Relatório Consolidado · 2026.1 · Maio 2026</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Consultoria FGV · Push Matcha · Entregável 2 — Pesquisa Acadêmica sobre a Geração Z   |   </w:t>
    </w:r>
    <w:r>
      <w:rPr>
        <w:rFonts w:ascii="Arial" w:cs="Arial" w:eastAsia="Arial" w:hAnsi="Arial"/>
        <w:color w:val="888888"/>
        <w:sz w:val="16"/>
        <w:szCs w:val="16"/>
      </w:rPr>
      <w:t xml:space="preserve">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2026-05-12T20:04:51.243Z</dcterms:created>
  <dcterms:modified xsi:type="dcterms:W3CDTF">2026-05-12T20:04:51.259Z</dcterms:modified>
</cp:coreProperties>
</file>

<file path=docProps/custom.xml><?xml version="1.0" encoding="utf-8"?>
<Properties xmlns="http://schemas.openxmlformats.org/officeDocument/2006/custom-properties" xmlns:vt="http://schemas.openxmlformats.org/officeDocument/2006/docPropsVTypes"/>
</file>