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B365D"/>
          <w:sz w:val="52"/>
        </w:rPr>
        <w:t>Workonnection</w:t>
      </w:r>
    </w:p>
    <w:p>
      <w:pPr>
        <w:spacing w:after="320"/>
        <w:jc w:val="center"/>
      </w:pPr>
      <w:r>
        <w:rPr>
          <w:rFonts w:ascii="Calibri" w:hAnsi="Calibri"/>
          <w:b/>
          <w:color w:val="2980B9"/>
          <w:sz w:val="28"/>
        </w:rPr>
        <w:t>Análise de Requisitos Não-Funcionais (RNF) segundo a ISO/IEC 25010 e Impactos na Arquitetura de Software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Projeto: </w:t>
            </w:r>
            <w:r>
              <w:t>Workonnection — Plataforma Digital para Conexão Profissional (Autônomos / MEIs)</w:t>
              <w:br/>
            </w:r>
            <w:r>
              <w:rPr>
                <w:b/>
              </w:rPr>
              <w:t xml:space="preserve">Stack Tecnológica: </w:t>
            </w:r>
            <w:r>
              <w:t>React 19, TypeScript, Vite, Spring Boot 3, Spring Security, MongoDB Atlas</w:t>
              <w:br/>
            </w:r>
            <w:r>
              <w:rPr>
                <w:b/>
              </w:rPr>
              <w:t xml:space="preserve">Integrantes: </w:t>
            </w:r>
            <w:r>
              <w:t>Hugo Aparecido, Paulo Roberto, Caroline Mendes, Priscila Mendes, Gabriel Gutierres, Guilherme Gomes</w:t>
              <w:br/>
            </w:r>
            <w:r>
              <w:rPr>
                <w:b/>
              </w:rPr>
              <w:t xml:space="preserve">Norma Avaliada: </w:t>
            </w:r>
            <w:r>
              <w:t>ISO/IEC 25010 (Modelo de Qualidade de Produto de Software)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1. Objetivo da Atividade</w:t>
      </w:r>
    </w:p>
    <w:p>
      <w:pPr>
        <w:spacing w:line="276" w:lineRule="auto" w:after="120"/>
      </w:pPr>
      <w:r>
        <w:t>Esta atividade tem como objetivo analisar e demonstrar como os Requisitos Não-Funcionais (RNF), estruturados sob as diretrizes do padrão internacional de qualidade ISO/IEC 25010, guiaram as decisões críticas de arquitetura do sistema Workonnection. A arquitetura de uma aplicação moderna não é orientada apenas pelo que o software faz (requisitos funcionais), mas prioritariamente por como o software se comporta em termos de segurança, desempenho, disponibilidade e manutenibilidade.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2980B9"/>
              </w:rPr>
              <w:t>Prompt de Pesquisa Utilizado:</w:t>
              <w:br/>
            </w:r>
            <w:r>
              <w:rPr>
                <w:i/>
              </w:rPr>
              <w:t>“Como um analista de qualidade, relacione os aspectos mais importantes que devem direcionar a especificação de requisitos não funcionais, considerando a ISO/IEC 25010, para um projeto de software e como esses requisitos podem impactar a arquitetura do software”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2. Fundamentação Teórica: ISO/IEC 25010 e Impacto Arquitetural</w:t>
      </w:r>
    </w:p>
    <w:p>
      <w:pPr>
        <w:spacing w:before="200" w:after="80"/>
      </w:pPr>
      <w:r>
        <w:rPr>
          <w:rFonts w:ascii="Calibri" w:hAnsi="Calibri"/>
          <w:b/>
          <w:color w:val="2980B9"/>
          <w:sz w:val="26"/>
        </w:rPr>
        <w:t>2.1. O Modelo de Qualidade de Software ISO/IEC 25010</w:t>
      </w:r>
    </w:p>
    <w:p>
      <w:pPr>
        <w:spacing w:line="276" w:lineRule="auto" w:after="120"/>
      </w:pPr>
      <w:r>
        <w:t>A norma ISO/IEC 25010 substituiu a antiga ISO/IEC 9126 e estabelece um modelo de qualidade estruturado em 8 características primárias para produtos de software. Sob a ótica de um Analista de Qualidade (QA), essas características funcionam como direcionadores para a identificação precoce de restrições técnicas e métricas de aceitação:</w:t>
      </w:r>
    </w:p>
    <w:p>
      <w:pPr>
        <w:pStyle w:val="ListBullet"/>
        <w:spacing w:line="276" w:lineRule="auto" w:after="60"/>
      </w:pPr>
      <w:r>
        <w:rPr>
          <w:b/>
          <w:color w:val="2C3E50"/>
        </w:rPr>
        <w:t>Segurança (Security):</w:t>
      </w:r>
      <w:r>
        <w:t xml:space="preserve"> Grau de proteção das informações e dados contra acessos não autorizados. Subcaracterísticas: Confidencialidade, Integridade, Não-repúdio, Responsabilidade e Autenticidade.</w:t>
      </w:r>
    </w:p>
    <w:p>
      <w:pPr>
        <w:pStyle w:val="ListBullet"/>
        <w:spacing w:line="276" w:lineRule="auto" w:after="60"/>
      </w:pPr>
      <w:r>
        <w:rPr>
          <w:b/>
          <w:color w:val="2C3E50"/>
        </w:rPr>
        <w:t>Eficiência de Desempenho (Performance Efficiency):</w:t>
      </w:r>
      <w:r>
        <w:t xml:space="preserve"> Comportamento temporal sob cargas específicas e utilização eficiente de recursos computacionais. Subcaracterísticas: Tempo de resposta, Vazão e Capacidade.</w:t>
      </w:r>
    </w:p>
    <w:p>
      <w:pPr>
        <w:pStyle w:val="ListBullet"/>
        <w:spacing w:line="276" w:lineRule="auto" w:after="60"/>
      </w:pPr>
      <w:r>
        <w:rPr>
          <w:b/>
          <w:color w:val="2C3E50"/>
        </w:rPr>
        <w:t>Manutenibilidade (Maintainability):</w:t>
      </w:r>
      <w:r>
        <w:t xml:space="preserve"> Eficácia e facilidade com que o software pode ser modificado, corrigido ou evoluído. Subcaracterísticas: Modularidade, Reusabilidade, Analisabilidade, Modificabilidade e Testabilidade.</w:t>
      </w:r>
    </w:p>
    <w:p>
      <w:pPr>
        <w:pStyle w:val="ListBullet"/>
        <w:spacing w:line="276" w:lineRule="auto" w:after="60"/>
      </w:pPr>
      <w:r>
        <w:rPr>
          <w:b/>
          <w:color w:val="2C3E50"/>
        </w:rPr>
        <w:t>Confiabilidade (Reliability):</w:t>
      </w:r>
      <w:r>
        <w:t xml:space="preserve"> Capacidade do sistema de desempenhar funções especificadas sob condições pré-estabelecidas e por períodos definidos. Subcaracterísticas: Disponibilidade, Maturidade, Tolerância a falhas e Recuperabilidade.</w:t>
      </w:r>
    </w:p>
    <w:p>
      <w:pPr>
        <w:pStyle w:val="ListBullet"/>
        <w:spacing w:line="276" w:lineRule="auto" w:after="60"/>
      </w:pPr>
      <w:r>
        <w:rPr>
          <w:b/>
          <w:color w:val="2C3E50"/>
        </w:rPr>
        <w:t>Compatibilidade (Compatibility):</w:t>
      </w:r>
      <w:r>
        <w:t xml:space="preserve"> Capacidade de componentes trocarem informações e compartilharem recursos sem conflitos. Subcaracterísticas: Coexistência e Interoperabilidade.</w:t>
      </w:r>
    </w:p>
    <w:p>
      <w:pPr>
        <w:pStyle w:val="ListBullet"/>
        <w:spacing w:line="276" w:lineRule="auto" w:after="60"/>
      </w:pPr>
      <w:r>
        <w:rPr>
          <w:b/>
          <w:color w:val="2C3E50"/>
        </w:rPr>
        <w:t>Usabilidade (Usability):</w:t>
      </w:r>
      <w:r>
        <w:t xml:space="preserve"> Grau em que o produto pode ser usado por usuários específicos com eficácia e satisfação. Subcaracterísticas: Reconhecibilidade, Facilidade de aprendizado, Operabilidade e Estética.</w:t>
      </w:r>
    </w:p>
    <w:p>
      <w:pPr>
        <w:pStyle w:val="ListBullet"/>
        <w:spacing w:line="276" w:lineRule="auto" w:after="60"/>
      </w:pPr>
      <w:r>
        <w:rPr>
          <w:b/>
          <w:color w:val="2C3E50"/>
        </w:rPr>
        <w:t>Portabilidade (Portability):</w:t>
      </w:r>
      <w:r>
        <w:t xml:space="preserve"> Facilidade com que o sistema pode ser transferido de um ambiente operacional ou de hardware para outro. Subcaracterísticas: Adaptabilidade, Facilidade de instalação e Facilidade de substituição.</w:t>
      </w:r>
    </w:p>
    <w:p>
      <w:pPr>
        <w:pStyle w:val="ListBullet"/>
        <w:spacing w:line="276" w:lineRule="auto" w:after="60"/>
      </w:pPr>
      <w:r>
        <w:rPr>
          <w:b/>
          <w:color w:val="2C3E50"/>
        </w:rPr>
        <w:t>Adequação Funcional (Functional Suitability):</w:t>
      </w:r>
      <w:r>
        <w:t xml:space="preserve"> Grau em que as funções atendem aos objetivos especificados. Subcaracterísticas: Completude, Correção e Pertinência funcional.</w:t>
      </w:r>
    </w:p>
    <w:p>
      <w:pPr>
        <w:spacing w:before="200" w:after="80"/>
      </w:pPr>
      <w:r>
        <w:rPr>
          <w:rFonts w:ascii="Calibri" w:hAnsi="Calibri"/>
          <w:b/>
          <w:color w:val="2980B9"/>
          <w:sz w:val="26"/>
        </w:rPr>
        <w:t>2.2. Como os RNFs Moldam e Restringem a Arquitetura</w:t>
      </w:r>
    </w:p>
    <w:p>
      <w:pPr>
        <w:spacing w:line="276" w:lineRule="auto" w:after="120"/>
      </w:pPr>
      <w:r>
        <w:t>Ao contrário dos requisitos funcionais, que determinam as 'telas e botões' do sistema, os requisitos não-funcionais definem os alicerces estruturais da solução (estilo arquitetural, tecnologias, protocolos e estratégias de persistência). A relação de causa e efeito ocorre da seguinte forma:</w:t>
      </w:r>
    </w:p>
    <w:p>
      <w:pPr>
        <w:pStyle w:val="ListBullet"/>
        <w:spacing w:line="276" w:lineRule="auto" w:after="60"/>
      </w:pPr>
      <w:r>
        <w:rPr>
          <w:b/>
          <w:color w:val="2980B9"/>
        </w:rPr>
        <w:t xml:space="preserve">Segurança e Privacidade ➔ </w:t>
      </w:r>
      <w:r>
        <w:t>Impõem a segregação de dados por meio de DTOs, filtros de autorização na borda da API, gerenciamento de sessões com cookies seguros (SameSite/Secure) e criptografia forte de dados sensíveis.</w:t>
      </w:r>
    </w:p>
    <w:p>
      <w:pPr>
        <w:pStyle w:val="ListBullet"/>
        <w:spacing w:line="276" w:lineRule="auto" w:after="60"/>
      </w:pPr>
      <w:r>
        <w:rPr>
          <w:b/>
          <w:color w:val="2980B9"/>
        </w:rPr>
        <w:t xml:space="preserve">Desempenho e Escalabilidade ➔ </w:t>
      </w:r>
      <w:r>
        <w:t>Direcionam o modelo de persistência (NoSQL com documentos desnormalizados vs. relacional), indexações de banco e comunicação assíncrona/reativa.</w:t>
      </w:r>
    </w:p>
    <w:p>
      <w:pPr>
        <w:pStyle w:val="ListBullet"/>
        <w:spacing w:line="276" w:lineRule="auto" w:after="60"/>
      </w:pPr>
      <w:r>
        <w:rPr>
          <w:b/>
          <w:color w:val="2980B9"/>
        </w:rPr>
        <w:t xml:space="preserve">Manutenibilidade ➔ </w:t>
      </w:r>
      <w:r>
        <w:t>Determina o padrão de divisão de responsabilidades: desacoplamento total entre Frontend (SPA) e Backend (REST API) e organização interna em camadas bem delimitadas (Controller, Service, Repository).</w:t>
      </w:r>
    </w:p>
    <w:p>
      <w:pPr>
        <w:pStyle w:val="ListBullet"/>
        <w:spacing w:line="276" w:lineRule="auto" w:after="60"/>
      </w:pPr>
      <w:r>
        <w:rPr>
          <w:b/>
          <w:color w:val="2980B9"/>
        </w:rPr>
        <w:t xml:space="preserve">Portabilidade e Implantação ➔ </w:t>
      </w:r>
      <w:r>
        <w:t>Exigem conteinerização (Docker), configuração externa isolada do código (environment variables) e suporte a execução transparente em nuvem.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3. Análise Crítica Aplicada ao Projeto Workonnection</w:t>
      </w:r>
    </w:p>
    <w:p>
      <w:pPr>
        <w:spacing w:line="276" w:lineRule="auto" w:after="120"/>
      </w:pPr>
      <w:r>
        <w:t>O Workonnection foi desenvolvido para aproximar autônomos, MEIs e estudantes de oportunidades de prestação de serviços e empregos temporários. A partir da análise dos RNFs, a arquitetura do sistema foi estruturada no modelo desacoplado Client-Server (SPA + RESTful API), amparado por pilares fundamentais:</w:t>
      </w:r>
    </w:p>
    <w:p>
      <w:pPr>
        <w:pStyle w:val="ListBullet"/>
        <w:spacing w:line="276" w:lineRule="auto" w:after="60"/>
      </w:pPr>
      <w:r>
        <w:rPr>
          <w:b/>
        </w:rPr>
        <w:t>Blindagem LGPD na Camada Pública:</w:t>
      </w:r>
      <w:r>
        <w:t xml:space="preserve"> Como a plataforma publica perfis e vagas, é crucial que dados confidenciais (CPF, telefone, senha, e-mail privado) não trafeguem na rede em endpoints de consulta pública. Isso exigiu a criação de DTOs de sanitização (UsuarioPublicoDTO e PerfilPublicoDTO).</w:t>
      </w:r>
    </w:p>
    <w:p>
      <w:pPr>
        <w:pStyle w:val="ListBullet"/>
        <w:spacing w:line="276" w:lineRule="auto" w:after="60"/>
      </w:pPr>
      <w:r>
        <w:rPr>
          <w:b/>
        </w:rPr>
        <w:t>Arquitetura Desacoplada (Frontend SPA + Backend REST):</w:t>
      </w:r>
      <w:r>
        <w:t xml:space="preserve"> A adoção de React 19 com Vite no frontend e Spring Boot 3 no backend permitiu que a interface seja altamente ágil e responsiva para o autônomo em dispositivos móveis, comunicando-se estritamente por JSON.</w:t>
      </w:r>
    </w:p>
    <w:p>
      <w:pPr>
        <w:pStyle w:val="ListBullet"/>
        <w:spacing w:line="276" w:lineRule="auto" w:after="60"/>
      </w:pPr>
      <w:r>
        <w:rPr>
          <w:b/>
        </w:rPr>
        <w:t>Modelo de Dados Dinâmico com MongoDB Atlas:</w:t>
      </w:r>
      <w:r>
        <w:t xml:space="preserve"> Vagas contam com interações dinâmicas (curtidas, comentários e filtros de requisitos). O modelo NoSQL orientado a documentos foi escolhido para suportar o feed sem a sobrecarga de JOINs relacionais.</w:t>
      </w:r>
    </w:p>
    <w:p>
      <w:pPr>
        <w:pStyle w:val="ListBullet"/>
        <w:spacing w:line="276" w:lineRule="auto" w:after="60"/>
      </w:pPr>
      <w:r>
        <w:rPr>
          <w:b/>
        </w:rPr>
        <w:t>Segurança de Sessão e Interoperabilidade Cross-Origin:</w:t>
      </w:r>
      <w:r>
        <w:t xml:space="preserve"> Como o frontend é hospedado na Vercel e o backend no Render, o sistema precisou de configuração criteriosa de CORS e cookies de sessão (SameSite=None; Secure=true) e suporte federado ao Google OAuth2.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4. Especificação dos Requisitos que Impactam a Arquitetura</w:t>
      </w:r>
    </w:p>
    <w:p>
      <w:pPr>
        <w:spacing w:line="276" w:lineRule="auto" w:after="120"/>
      </w:pPr>
      <w:r>
        <w:t>A seguir, são especificados formalmente os requisitos de maior impacto na arquitetura do Workonnection, no formato solicitado pela atividade (RF01 – O sistema deve...):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AEC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RF01</w:t>
            </w:r>
          </w:p>
        </w:tc>
        <w:tc>
          <w:tcPr>
            <w:tcW w:type="dxa" w:w="6768"/>
            <w:shd w:val="clear" w:color="auto" w:fill="EAEC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C3E50"/>
              </w:rPr>
              <w:t>O sistema deve desacoplar a interface visual da camada de regras de negócio e dados através de uma API RESTful.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Característica ISO 25010: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Manutenibilidade (Modularidade e Modificabilidade)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Justificativa Técnica: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Permite que a interface do usuário (SPA) e o núcleo de regras de negócio (API) evoluam, sejam testados e recebam deploy de forma independente.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2980B9"/>
              </w:rPr>
              <w:t>Impacto na Arquitetura: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Determinou a divisão física do repositório em Frontend (React 19 + TypeScript + Vite) e Backend (Spring Boot 3 no padrão MVC + Service). A comunicação é estritamente assíncrona via HTTP/JSON.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AEC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RF02</w:t>
            </w:r>
          </w:p>
        </w:tc>
        <w:tc>
          <w:tcPr>
            <w:tcW w:type="dxa" w:w="6768"/>
            <w:shd w:val="clear" w:color="auto" w:fill="EAEC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C3E50"/>
              </w:rPr>
              <w:t>O sistema deve proteger a exposição de dados sensíveis na camada pública em conformidade com as diretrizes da LGPD.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Característica ISO 25010: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Segurança (Confidencialidade)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Justificativa Técnica: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Profissionais autônomos e candidatos precisam de visualização de perfil profissional sem ter seus dados privados (CPF, telefone, senha hash) expostos na rede.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2980B9"/>
              </w:rPr>
              <w:t>Impacto na Arquitetura: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Exigiu a inclusão de uma camada estrita de Data Transfer Objects (DTOs) como UsuarioPublicoDTO e PerfilPublicoDTO. Nenhuma entidade pura do MongoDB é exposta diretamente nos endpoints públicos.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AEC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RF03</w:t>
            </w:r>
          </w:p>
        </w:tc>
        <w:tc>
          <w:tcPr>
            <w:tcW w:type="dxa" w:w="6768"/>
            <w:shd w:val="clear" w:color="auto" w:fill="EAEC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C3E50"/>
              </w:rPr>
              <w:t>O sistema deve armazenar credenciais com criptografia unidirecional e controlar autenticações por meio de sessões HTTP protegidas.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Característica ISO 25010: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Segurança (Autenticidade e Integridade)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Justificativa Técnica: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Garantir que senhas nunca sejam armazenadas em texto claro e que sessões de usuários sejam blindadas contra interceptações e ataques de sequestro de sessão.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2980B9"/>
              </w:rPr>
              <w:t>Impacto na Arquitetura: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Implementação do Spring Security com BCryptPasswordEncoder para hashing de senhas. Sessão gerenciada via cookie JSESSIONID com sinalizadores SameSite=None e Secure=true, além do endpoint de login federado via Google OAuth2.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AEC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RF04</w:t>
            </w:r>
          </w:p>
        </w:tc>
        <w:tc>
          <w:tcPr>
            <w:tcW w:type="dxa" w:w="6768"/>
            <w:shd w:val="clear" w:color="auto" w:fill="EAEC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C3E50"/>
              </w:rPr>
              <w:t>O sistema deve persistir informações em um banco de dados NoSQL orientado a documentos com alta disponibilidade.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Característica ISO 25010: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Eficiência de Desempenho e Confiabilidade (Disponibilidade)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Justificativa Técnica: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O feed de vagas possui interações instantâneas (likes, dislikes e comentários aninhados) e schemas dinâmicos que gerariam gargalos em bancos relacionais.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2980B9"/>
              </w:rPr>
              <w:t>Impacto na Arquitetura: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Adoção do MongoDB Atlas na nuvem com cluster replicado e Spring Data MongoDB. Permitiu modelar comentários e curtidas diretamente no documento de Vaga, reduzindo latência no carregamento do feed.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AEC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RF05</w:t>
            </w:r>
          </w:p>
        </w:tc>
        <w:tc>
          <w:tcPr>
            <w:tcW w:type="dxa" w:w="6768"/>
            <w:shd w:val="clear" w:color="auto" w:fill="EAEC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C3E50"/>
              </w:rPr>
              <w:t>O sistema deve garantir comunicação segura e controlada entre origens distintas (CORS Cross-Origin).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Característica ISO 25010: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Compatibilidade (Interoperabilidade) e Segurança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Justificativa Técnica: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O frontend SPA e a API residem em domínios e portas diferentes em desenvolvimento e em produção (Vercel e Render).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2980B9"/>
              </w:rPr>
              <w:t>Impacto na Arquitetura: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Configuração explícita de CorsConfigurationSource no SecurityConfig do Spring, liberando origens autorizadas (localhost:5173, vercel.app), com suporte obrigatório a credenciais (allowCredentials=true) e cabeçalhos de autorização.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AEC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RF06</w:t>
            </w:r>
          </w:p>
        </w:tc>
        <w:tc>
          <w:tcPr>
            <w:tcW w:type="dxa" w:w="6768"/>
            <w:shd w:val="clear" w:color="auto" w:fill="EAEC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C3E50"/>
              </w:rPr>
              <w:t>O sistema deve ser distribuível por meio de contêineres e configurações baseadas em variáveis de ambiente.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Característica ISO 25010: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Portabilidade (Adaptabilidade e Facilidade de Instalação)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Justificativa Técnica: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Permitir que desenvolvedores executem a aplicação localmente de imediato e que o deploy em plataformas de nuvem (Render, Docker) ocorra de forma padronizada.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2980B9"/>
              </w:rPr>
              <w:t>Impacto na Arquitetura: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Criação de Dockerfile multi-stage (Maven 3.9 + Eclipse Temurin 17 JRE) e parametrização dinâmica de application.properties via profiles (local e prod) e variáveis de ambiente (MONGODB_URI, SPRING_PROFILES_ACTIVE).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5. Matriz de Rastreabilidade: RNF x ISO 25010 x Arquitetura</w:t>
      </w:r>
    </w:p>
    <w:p>
      <w:pPr>
        <w:spacing w:line="276" w:lineRule="auto" w:after="120"/>
      </w:pPr>
      <w:r>
        <w:t>A tabela abaixo sintetiza o mapeamento entre os requisitos levantados, os atributos da ISO/IEC 25010 e as tecnologias correspondentes no projeto: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Atributo ISO 25010</w:t>
            </w:r>
          </w:p>
        </w:tc>
        <w:tc>
          <w:tcPr>
            <w:tcW w:type="dxa" w:w="234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Componente Arquitetural</w:t>
            </w:r>
          </w:p>
        </w:tc>
        <w:tc>
          <w:tcPr>
            <w:tcW w:type="dxa" w:w="234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Tecnologia / Decisão</w:t>
            </w:r>
          </w:p>
        </w:tc>
      </w:tr>
      <w:tr>
        <w:tc>
          <w:tcPr>
            <w:tcW w:type="dxa" w:w="2340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</w:rPr>
              <w:t>RF01</w:t>
            </w:r>
          </w:p>
        </w:tc>
        <w:tc>
          <w:tcPr>
            <w:tcW w:type="dxa" w:w="2340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Manutenibilidade</w:t>
            </w:r>
          </w:p>
        </w:tc>
        <w:tc>
          <w:tcPr>
            <w:tcW w:type="dxa" w:w="2340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Divisão SPA + REST API</w:t>
            </w:r>
          </w:p>
        </w:tc>
        <w:tc>
          <w:tcPr>
            <w:tcW w:type="dxa" w:w="2340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React 19, TypeScript, Spring Boot 3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</w:rPr>
              <w:t>RF02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Segurança (LGPD)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Camada de DTOs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UsuarioPublicoDTO, PerfilPublicoDTO</w:t>
            </w:r>
          </w:p>
        </w:tc>
      </w:tr>
      <w:tr>
        <w:tc>
          <w:tcPr>
            <w:tcW w:type="dxa" w:w="2340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</w:rPr>
              <w:t>RF03</w:t>
            </w:r>
          </w:p>
        </w:tc>
        <w:tc>
          <w:tcPr>
            <w:tcW w:type="dxa" w:w="2340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Segurança</w:t>
            </w:r>
          </w:p>
        </w:tc>
        <w:tc>
          <w:tcPr>
            <w:tcW w:type="dxa" w:w="2340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Camada de Autenticação</w:t>
            </w:r>
          </w:p>
        </w:tc>
        <w:tc>
          <w:tcPr>
            <w:tcW w:type="dxa" w:w="2340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BCrypt, Spring Security, Google OAuth2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</w:rPr>
              <w:t>RF04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Desempenho / Confiabilidade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Camada de Persistência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MongoDB Atlas NoSQL, Documentos Embutidos</w:t>
            </w:r>
          </w:p>
        </w:tc>
      </w:tr>
      <w:tr>
        <w:tc>
          <w:tcPr>
            <w:tcW w:type="dxa" w:w="2340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</w:rPr>
              <w:t>RF05</w:t>
            </w:r>
          </w:p>
        </w:tc>
        <w:tc>
          <w:tcPr>
            <w:tcW w:type="dxa" w:w="2340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Compatibilidade / Segurança</w:t>
            </w:r>
          </w:p>
        </w:tc>
        <w:tc>
          <w:tcPr>
            <w:tcW w:type="dxa" w:w="2340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Filtro de Cross-Origin</w:t>
            </w:r>
          </w:p>
        </w:tc>
        <w:tc>
          <w:tcPr>
            <w:tcW w:type="dxa" w:w="2340"/>
            <w:shd w:val="clear" w:color="auto"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CorsConfigurationSource, SameSite Cookies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</w:rPr>
              <w:t>RF06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Portabilidade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Empacotamento / Deploy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Dockerfile multi-stage, application.properties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