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 soutenance — Bloc 4</w:t>
      </w:r>
    </w:p>
    <w:p>
      <w:pPr>
        <w:pStyle w:val="Heading2"/>
      </w:pPr>
      <w:r>
        <w:t>Projet VRV Intermarché Rive-de-Gier — Guillaume TARDY (Licence CPEBD, IRUP Saint-Étienne)</w:t>
      </w:r>
    </w:p>
    <w:p>
      <w:r>
        <w:rPr>
          <w:i/>
        </w:rPr>
        <w:t>Document de travail personnel, non destiné à être remis avec le rapport.</w:t>
      </w:r>
    </w:p>
    <w:p>
      <w:pPr>
        <w:pStyle w:val="Heading2"/>
      </w:pPr>
      <w:r>
        <w:t>Annexe D — Trame de la soutenance orale (20 min + 10 min de questions)</w:t>
      </w:r>
    </w:p>
    <w:p>
      <w:r>
        <w:t>La grille d'évaluation de la soutenance pondère les critères de la façon suivante ; la trame ci-dessous répartit le temps en conséquence.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autofit"/>
        <w:tblCellMar>
          <w:top w:w="10" w:type="dxa"/>
          <w:left w:w="60" w:type="dxa"/>
          <w:bottom w:w="10" w:type="dxa"/>
          <w:right w:w="60" w:type="dxa"/>
        </w:tblCellMar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Séquence</w:t>
            </w:r>
          </w:p>
        </w:tc>
        <w:tc>
          <w:tcPr>
            <w:tcW w:type="dxa" w:w="2578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Durée</w:t>
            </w:r>
          </w:p>
        </w:tc>
        <w:tc>
          <w:tcPr>
            <w:tcW w:type="dxa" w:w="2578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Contenu</w:t>
            </w:r>
          </w:p>
        </w:tc>
        <w:tc>
          <w:tcPr>
            <w:tcW w:type="dxa" w:w="2578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Coef. grille</w:t>
            </w:r>
          </w:p>
        </w:tc>
      </w:tr>
      <w:tr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1. Introduction et présentation personnelle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1 min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Qui je suis, mon poste, le cadre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2. L'entreprise et le contexte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 min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VINCI Energies → Santerne Surfaces Commerciales → cellule CVC ; mon poste ; enjeux et parties prenantes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3. La problématique et le diagnostic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 min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Constat, audit énergétique, décret tertiaire, risques encourus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2 / 3</w:t>
            </w:r>
          </w:p>
        </w:tc>
      </w:tr>
      <w:tr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4. La solution et sa justification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4 min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Comparaison des solutions, VRV gainable, architecture, performance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5. Budget, financement, planning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2 min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Devis 90 000 € HT, CEE 11 000 €, calendrier, </w:t>
            </w:r>
            <w:r>
              <w:rPr>
                <w:b/>
                <w:sz w:val="16"/>
              </w:rPr>
              <w:t>bilan d'affaire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6. Le chantier : nuit, ERP, hauteur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 min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Les contraintes, les mesures de sécurité et </w:t>
            </w:r>
            <w:r>
              <w:rPr>
                <w:b/>
                <w:sz w:val="16"/>
              </w:rPr>
              <w:t>l'aléa du temps de nuit doublé</w:t>
            </w:r>
            <w:r>
              <w:rPr>
                <w:sz w:val="16"/>
              </w:rPr>
              <w:t xml:space="preserve"> — point fort du projet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7. Résultats et indicateurs d'impact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2 min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Énergie, CO₂, euros, délai, sécurité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8. Analyse critique et perspectives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2 min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Ce que je referais autrement, feuille de route du site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Total présentation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20 min</w:t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257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9. Questions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10 min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Voir annexe E</w:t>
            </w:r>
          </w:p>
        </w:tc>
        <w:tc>
          <w:tcPr>
            <w:tcW w:type="dxa" w:w="257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40" w:before="0"/>
      </w:pPr>
    </w:p>
    <w:p>
      <w:r>
        <w:rPr>
          <w:b/>
        </w:rPr>
        <w:t>Recommandations pour le support</w:t>
      </w:r>
      <w:r>
        <w:t xml:space="preserve"> : une idée par diapositive, des visuels réels (photos de nuit, schéma de principe, plan d'implantation), des chiffres clés lisibles à distance, un fil rouge visible (numéro d'étape), pas de texte rédigé.</w:t>
      </w:r>
    </w:p>
    <w:p>
      <w:pPr>
        <w:pStyle w:val="Heading2"/>
      </w:pPr>
      <w:r>
        <w:t>Annexe E — Questions probables du jury et éléments de réponse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autofit"/>
        <w:tblCellMar>
          <w:top w:w="10" w:type="dxa"/>
          <w:left w:w="60" w:type="dxa"/>
          <w:bottom w:w="10" w:type="dxa"/>
          <w:right w:w="60" w:type="dxa"/>
        </w:tblCellMar>
      </w:tblPr>
      <w:tblGrid>
        <w:gridCol w:w="5156"/>
        <w:gridCol w:w="5156"/>
      </w:tblGrid>
      <w:tr>
        <w:tc>
          <w:tcPr>
            <w:tcW w:type="dxa" w:w="5156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156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Éléments de réponse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Le site est-il assujetti au décret tertiaire ? Pourquoi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Oui : </w:t>
            </w:r>
            <w:r>
              <w:rPr>
                <w:b/>
                <w:sz w:val="16"/>
              </w:rPr>
              <w:t>3 690 m²</w:t>
            </w:r>
            <w:r>
              <w:rPr>
                <w:sz w:val="16"/>
              </w:rPr>
              <w:t xml:space="preserve"> de surface tertiaire, seuil de 1 000 m². Base 369,2 kWh/m², objectif 2030 à </w:t>
            </w:r>
            <w:r>
              <w:rPr>
                <w:b/>
                <w:sz w:val="16"/>
              </w:rPr>
              <w:t>221,5 kWh/m²</w:t>
            </w:r>
            <w:r>
              <w:rPr>
                <w:sz w:val="16"/>
              </w:rPr>
              <w:t xml:space="preserve"> (− 40 %)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 était l'existant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Chaudière gaz FERROLI Frex N350, 452 kW, de 1987</w:t>
            </w:r>
            <w:r>
              <w:rPr>
                <w:sz w:val="16"/>
              </w:rPr>
              <w:t>, aérothermes à eau chaude, loi d'eau. Pas de climatisation hors zone frais (2 VRV Daikin de 2014)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Pourquoi un DRV plutôt qu'une chaudière à condensation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La condensation coûtait 47 800 € pour 2 250 €/an (21,4 ans) </w:t>
            </w:r>
            <w:r>
              <w:rPr>
                <w:b/>
                <w:sz w:val="16"/>
              </w:rPr>
              <w:t>sans apporter la climatisation ni sortir du gaz</w:t>
            </w:r>
            <w:r>
              <w:rPr>
                <w:sz w:val="16"/>
              </w:rPr>
              <w:t>. Le DRV traite les deux besoins avec un seul investissement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Comment expliquez-vous de passer de 452 kW à 70,4 kW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Surdimensionnement d'origine (1987), bâti isolé depuis, </w:t>
            </w:r>
            <w:r>
              <w:rPr>
                <w:b/>
                <w:sz w:val="16"/>
              </w:rPr>
              <w:t>apports internes considérables</w:t>
            </w:r>
            <w:r>
              <w:rPr>
                <w:sz w:val="16"/>
              </w:rPr>
              <w:t xml:space="preserve"> (éclairage, occupants, rejets des groupes froids = 37 % des consos), et rendement d'émission d'un DRV sans commune mesure avec des aérothermes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 est le matériel installé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DAIKIN RXYQ36U</w:t>
            </w:r>
            <w:r>
              <w:rPr>
                <w:sz w:val="16"/>
              </w:rPr>
              <w:t xml:space="preserve"> (RXYQ20U + RXYQ16U), 70,4 kW chaud à − 10 °C / 89,5 kW froid, ETAS 162,4 % / 250,8 %, </w:t>
            </w:r>
            <w:r>
              <w:rPr>
                <w:b/>
                <w:sz w:val="16"/>
              </w:rPr>
              <w:t>R-410A</w:t>
            </w:r>
            <w:r>
              <w:rPr>
                <w:sz w:val="16"/>
              </w:rPr>
              <w:t xml:space="preserve">, en cour arrière sur dalle. Côté intérieur : </w:t>
            </w:r>
            <w:r>
              <w:rPr>
                <w:b/>
                <w:sz w:val="16"/>
              </w:rPr>
              <w:t>1 gainable FXMQ-250A</w:t>
            </w:r>
            <w:r>
              <w:rPr>
                <w:sz w:val="16"/>
              </w:rPr>
              <w:t xml:space="preserve"> (28 kW, 4 440 m³/h) + </w:t>
            </w:r>
            <w:r>
              <w:rPr>
                <w:b/>
                <w:sz w:val="16"/>
              </w:rPr>
              <w:t>59 ml de gaine perforée SIONAIR Ø 550</w:t>
            </w:r>
            <w:r>
              <w:rPr>
                <w:sz w:val="16"/>
              </w:rPr>
              <w:t xml:space="preserve"> + </w:t>
            </w:r>
            <w:r>
              <w:rPr>
                <w:b/>
                <w:sz w:val="16"/>
              </w:rPr>
              <w:t>4 cassettes Roundflow 125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Pourquoi du R-410A et pas du R-32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C'est la limite du projet, à assumer</w:t>
            </w:r>
            <w:r>
              <w:rPr>
                <w:sz w:val="16"/>
              </w:rPr>
              <w:t xml:space="preserve"> : GWP 2 088 contre 675, choix lié à la gamme VRV IV et à la continuité avec le parc du site. Conséquence : recharges plus coûteuses et plus rares à terme, d'où une exigence renforcée d'étanchéité et de contrôles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 est le temps de retour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5 260 €/an</w:t>
            </w:r>
            <w:r>
              <w:rPr>
                <w:sz w:val="16"/>
              </w:rPr>
              <w:t xml:space="preserve"> pour </w:t>
            </w:r>
            <w:r>
              <w:rPr>
                <w:b/>
                <w:sz w:val="16"/>
              </w:rPr>
              <w:t>90 000 € HT</w:t>
            </w:r>
            <w:r>
              <w:rPr>
                <w:sz w:val="16"/>
              </w:rPr>
              <w:t xml:space="preserve">, soit </w:t>
            </w:r>
            <w:r>
              <w:rPr>
                <w:b/>
                <w:sz w:val="16"/>
              </w:rPr>
              <w:t>79 000 € après CEE → ≈ 15 ans</w:t>
            </w:r>
            <w:r>
              <w:rPr>
                <w:sz w:val="16"/>
              </w:rPr>
              <w:t xml:space="preserve">. Le bouquet complet : 572 940 € pour 58 590 €/an → </w:t>
            </w:r>
            <w:r>
              <w:rPr>
                <w:b/>
                <w:sz w:val="16"/>
              </w:rPr>
              <w:t>9,3 ans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Pourquoi un retour aussi long ? Pourquoi le faire alors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On substitue une énergie bon marché (gaz) par une énergie chère (électricité) </w:t>
            </w:r>
            <w:r>
              <w:rPr>
                <w:b/>
                <w:sz w:val="16"/>
              </w:rPr>
              <w:t>et</w:t>
            </w:r>
            <w:r>
              <w:rPr>
                <w:sz w:val="16"/>
              </w:rPr>
              <w:t xml:space="preserve"> on ajoute un usage (+ 102 MWh, + 9 %). Ce qui justifie le projet : chaudière de 1987 en fin de vie, confort d'été sur 2 596 m², trajectoire décret tertiaire, décret BACS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Ce projet suffit-il pour le décret tertiaire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Non, et c'est assumé : le chauffage ne pèse que </w:t>
            </w:r>
            <w:r>
              <w:rPr>
                <w:b/>
                <w:sz w:val="16"/>
              </w:rPr>
              <w:t>13 %</w:t>
            </w:r>
            <w:r>
              <w:rPr>
                <w:sz w:val="16"/>
              </w:rPr>
              <w:t xml:space="preserve"> des consommations. C'est le </w:t>
            </w:r>
            <w:r>
              <w:rPr>
                <w:b/>
                <w:sz w:val="16"/>
              </w:rPr>
              <w:t>bouquet</w:t>
            </w:r>
            <w:r>
              <w:rPr>
                <w:sz w:val="16"/>
              </w:rPr>
              <w:t xml:space="preserve"> (PAC + ECS thermo + PV + GTC + récupération de chaleur) qui mène à </w:t>
            </w:r>
            <w:r>
              <w:rPr>
                <w:b/>
                <w:sz w:val="16"/>
              </w:rPr>
              <w:t>211,2 kWh/m²</w:t>
            </w:r>
            <w:r>
              <w:rPr>
                <w:sz w:val="16"/>
              </w:rPr>
              <w:t>, donc à la conformité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Comment le projet a-t-il été financé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CEE de 11 000 €</w:t>
            </w:r>
            <w:r>
              <w:rPr>
                <w:sz w:val="16"/>
              </w:rPr>
              <w:t xml:space="preserve"> via TotalEnergies Marketing France, mandataire GreenFlex, avec </w:t>
            </w:r>
            <w:r>
              <w:rPr>
                <w:b/>
                <w:sz w:val="16"/>
              </w:rPr>
              <w:t>mandat de perception au profit de Santerne</w:t>
            </w:r>
            <w:r>
              <w:rPr>
                <w:sz w:val="16"/>
              </w:rPr>
              <w:t xml:space="preserve">. Règle clé : engagement de l'obligé </w:t>
            </w:r>
            <w:r>
              <w:rPr>
                <w:b/>
                <w:sz w:val="16"/>
              </w:rPr>
              <w:t>avant</w:t>
            </w:r>
            <w:r>
              <w:rPr>
                <w:sz w:val="16"/>
              </w:rPr>
              <w:t xml:space="preserve"> signature du devis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Pourquoi la GTB n'a-t-elle pas été installée tout de suite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Recommandation explicite de l'audit : inutile de la poser avant de changer la production. Mais les </w:t>
            </w:r>
            <w:r>
              <w:rPr>
                <w:b/>
                <w:sz w:val="16"/>
              </w:rPr>
              <w:t>liaisons Modbus/BACnet ont été posées</w:t>
            </w:r>
            <w:r>
              <w:rPr>
                <w:sz w:val="16"/>
              </w:rPr>
              <w:t xml:space="preserve"> (531,70 €), donc la GTC future se raccorde sans reprise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Le site est-il concerné par d'autres obligations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Oui : </w:t>
            </w:r>
            <w:r>
              <w:rPr>
                <w:b/>
                <w:sz w:val="16"/>
              </w:rPr>
              <w:t>décret BACS</w:t>
            </w:r>
            <w:r>
              <w:rPr>
                <w:sz w:val="16"/>
              </w:rPr>
              <w:t xml:space="preserve"> (chaudière de 452 kW, échéance 2025 dépassée), </w:t>
            </w:r>
            <w:r>
              <w:rPr>
                <w:b/>
                <w:sz w:val="16"/>
              </w:rPr>
              <w:t>loi APER</w:t>
            </w:r>
            <w:r>
              <w:rPr>
                <w:sz w:val="16"/>
              </w:rPr>
              <w:t xml:space="preserve"> (parking 3 179 m² → ≈ 1 480 m² d'ombrières avant 2028), </w:t>
            </w:r>
            <w:r>
              <w:rPr>
                <w:b/>
                <w:sz w:val="16"/>
              </w:rPr>
              <w:t>loi LOM</w:t>
            </w:r>
            <w:r>
              <w:rPr>
                <w:sz w:val="16"/>
              </w:rPr>
              <w:t xml:space="preserve"> (120 places → 6 bornes dont 1 PMR)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Quelles règles encadrent le travail de nuit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Période 21 h – 6 h, recours exceptionnel justifié par la continuité de l'activité, 8 h max par jour, 40 h en moyenne sur 12 semaines, contreparties en repos, surveillance médicale renforcée, </w:t>
            </w:r>
            <w:r>
              <w:rPr>
                <w:b/>
                <w:sz w:val="16"/>
              </w:rPr>
              <w:t>interdiction totale pour les mineurs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Comment avez-vous sécurisé le travail en nacelle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PEMP, </w:t>
            </w:r>
            <w:r>
              <w:rPr>
                <w:b/>
                <w:sz w:val="16"/>
              </w:rPr>
              <w:t>CACES R486</w:t>
            </w:r>
            <w:r>
              <w:rPr>
                <w:sz w:val="16"/>
              </w:rPr>
              <w:t xml:space="preserve">, autorisation de conduite, VGP tous les 6 mois, harnais avec longe courte, </w:t>
            </w:r>
            <w:r>
              <w:rPr>
                <w:b/>
                <w:sz w:val="16"/>
              </w:rPr>
              <w:t>personne au sol formée aux manœuvres de secours</w:t>
            </w:r>
            <w:r>
              <w:rPr>
                <w:sz w:val="16"/>
              </w:rPr>
              <w:t>, zone au sol balisée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Plan de prévention ou PPSPS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Entreprise extérieure chez un utilisateur → </w:t>
            </w:r>
            <w:r>
              <w:rPr>
                <w:b/>
                <w:sz w:val="16"/>
              </w:rPr>
              <w:t>plan de prévention écrit</w:t>
            </w:r>
            <w:r>
              <w:rPr>
                <w:sz w:val="16"/>
              </w:rPr>
              <w:t xml:space="preserve"> obligatoire (&gt; 400 h/an et travaux dangereux). SPS si plusieurs entreprises sur une opération de bâtiment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Comment avez-vous maintenu la sécurité incendie de l'ERP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GN 13</w:t>
            </w:r>
            <w:r>
              <w:rPr>
                <w:sz w:val="16"/>
              </w:rPr>
              <w:t xml:space="preserve"> : dégagements libres, permis de feu pour les brasages, détection remise en service </w:t>
            </w:r>
            <w:r>
              <w:rPr>
                <w:b/>
                <w:sz w:val="16"/>
              </w:rPr>
              <w:t>avant 4 h 45</w:t>
            </w:r>
            <w:r>
              <w:rPr>
                <w:sz w:val="16"/>
              </w:rPr>
              <w:t>, clapets coupe-feu aux traversées, désenfumage non entravé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 a été votre rôle exact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Chargé de maintenance</w:t>
            </w:r>
            <w:r>
              <w:rPr>
                <w:sz w:val="16"/>
              </w:rPr>
              <w:t xml:space="preserve"> : entretiens, dépannages, devis. Sur ce projet : </w:t>
            </w:r>
            <w:r>
              <w:rPr>
                <w:b/>
                <w:sz w:val="16"/>
              </w:rPr>
              <w:t>participation à l'audit</w:t>
            </w:r>
            <w:r>
              <w:rPr>
                <w:sz w:val="16"/>
              </w:rPr>
              <w:t xml:space="preserve"> (visite, relevés, historique d'exploitation) et </w:t>
            </w:r>
            <w:r>
              <w:rPr>
                <w:b/>
                <w:sz w:val="16"/>
              </w:rPr>
              <w:t>réalisation d'une partie du chantier</w:t>
            </w:r>
            <w:r>
              <w:rPr>
                <w:sz w:val="16"/>
              </w:rPr>
              <w:t>, puis reprise de l'installation en maintenance. Ne pas surjouer : c'est plus crédible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Quelle a été la charge de fluide, et qu'est-ce que cela implique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38 kg de R-410A = 79,3 t CO₂e</w:t>
            </w:r>
            <w:r>
              <w:rPr>
                <w:sz w:val="16"/>
              </w:rPr>
              <w:t xml:space="preserve">, soit </w:t>
            </w:r>
            <w:r>
              <w:rPr>
                <w:b/>
                <w:sz w:val="16"/>
              </w:rPr>
              <w:t>4,8 années du gain annuel</w:t>
            </w:r>
            <w:r>
              <w:rPr>
                <w:sz w:val="16"/>
              </w:rPr>
              <w:t xml:space="preserve"> (16,7 t/an). Au-dessus de </w:t>
            </w:r>
            <w:r>
              <w:rPr>
                <w:b/>
                <w:sz w:val="16"/>
              </w:rPr>
              <w:t>50 t CO₂e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contrôle d'étanchéité semestriel</w:t>
            </w:r>
            <w:r>
              <w:rPr>
                <w:sz w:val="16"/>
              </w:rPr>
              <w:t xml:space="preserve"> au lieu d'annuel. Au R-32 : 25,7 t, contrôle annuel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 aléa avez-vous rencontré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Le temps de nuit a doublé</w:t>
            </w:r>
            <w:r>
              <w:rPr>
                <w:sz w:val="16"/>
              </w:rPr>
              <w:t xml:space="preserve"> par rapport au chiffrage. Délai calendaire tenu (mi-avril → mi-juin 2026), mais écart absorbé par l'entreprise. Causes : fenêtre utile de 8 h, montage/repli quotidien, 70 % en nacelle, 59 ml de gaine, fatigue. Correction : distinguer au devis temps de production et temps de mise en place, et appliquer un coefficient de productivité nocturne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Quel a été le bilan financier de l'affaire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Très légèrement bénéficiaire.</w:t>
            </w:r>
            <w:r>
              <w:rPr>
                <w:sz w:val="16"/>
              </w:rPr>
              <w:t xml:space="preserve"> Le doublement du temps de nuit a absorbé la marge prévue, mais les </w:t>
            </w:r>
            <w:r>
              <w:rPr>
                <w:b/>
                <w:sz w:val="16"/>
              </w:rPr>
              <w:t>économies sur les achats et la négociation fournisseurs</w:t>
            </w:r>
            <w:r>
              <w:rPr>
                <w:sz w:val="16"/>
              </w:rPr>
              <w:t xml:space="preserve"> l'ont compensé. À dire tel quel : un bon résultat obtenu par un levier ponctuel ne valide pas une estimation fausse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Qu'auriez-vous fait différemment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R-32 plutôt que R-410A ; </w:t>
            </w:r>
            <w:r>
              <w:rPr>
                <w:b/>
                <w:sz w:val="16"/>
              </w:rPr>
              <w:t>chiffrage du travail de nuit</w:t>
            </w:r>
            <w:r>
              <w:rPr>
                <w:sz w:val="16"/>
              </w:rPr>
              <w:t xml:space="preserve"> avec coefficient de productivité ; </w:t>
            </w:r>
            <w:r>
              <w:rPr>
                <w:b/>
                <w:sz w:val="16"/>
              </w:rPr>
              <w:t>sous-comptage du poste chauffage avant travaux</w:t>
            </w:r>
            <w:r>
              <w:rPr>
                <w:sz w:val="16"/>
              </w:rPr>
              <w:t xml:space="preserve"> ; recalcul du TRA après l'écart budget/devis (− 27 %) ; renfort d'équipe sur les phases lourdes</w:t>
            </w:r>
          </w:p>
        </w:tc>
      </w:tr>
      <w:tr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Comment prouverez-vous le gain réel ?</w:t>
            </w:r>
          </w:p>
        </w:tc>
        <w:tc>
          <w:tcPr>
            <w:tcW w:type="dxa" w:w="5156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Correction climatique par </w:t>
            </w:r>
            <w:r>
              <w:rPr>
                <w:b/>
                <w:sz w:val="16"/>
              </w:rPr>
              <w:t>DJU</w:t>
            </w:r>
            <w:r>
              <w:rPr>
                <w:sz w:val="16"/>
              </w:rPr>
              <w:t>, raisonnement en kWh avant euros, exploitation d'</w:t>
            </w:r>
            <w:r>
              <w:rPr>
                <w:b/>
                <w:sz w:val="16"/>
              </w:rPr>
              <w:t>ENERGISME</w:t>
            </w:r>
            <w:r>
              <w:rPr>
                <w:sz w:val="16"/>
              </w:rPr>
              <w:t xml:space="preserve"> et de la déclaration </w:t>
            </w:r>
            <w:r>
              <w:rPr>
                <w:b/>
                <w:sz w:val="16"/>
              </w:rPr>
              <w:t>OPERAT</w:t>
            </w:r>
            <w:r>
              <w:rPr>
                <w:sz w:val="16"/>
              </w:rPr>
              <w:t>, comparaison sur une année pleine minimum</w:t>
            </w:r>
          </w:p>
        </w:tc>
      </w:tr>
      <w:tr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Prise en compte d'un collaborateur en situation de handicap ?</w:t>
            </w:r>
          </w:p>
        </w:tc>
        <w:tc>
          <w:tcPr>
            <w:tcW w:type="dxa" w:w="5156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Aménagement de poste avec le médecin du travail et le référent handicap : affectation aux tâches de préfabrication au sol plutôt qu'en nacelle, adaptation des horaires, accessibilité des zones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Annexe F — Ce qu'il reste à obtenir</w:t>
      </w:r>
    </w:p>
    <w:p>
      <w:r>
        <w:rPr>
          <w:b/>
        </w:rPr>
        <w:t>Utile pour renforcer le rapport</w:t>
      </w:r>
    </w:p>
    <w:p>
      <w:pPr>
        <w:pStyle w:val="ListNumber"/>
        <w:spacing w:after="40"/>
        <w:ind w:left="397"/>
        <w:jc w:val="both"/>
      </w:pPr>
      <w:r>
        <w:rPr>
          <w:b/>
        </w:rPr>
        <w:t>Nombre de nuits réellement effectuées</w:t>
      </w:r>
      <w:r>
        <w:t xml:space="preserve"> et répartition des heures par phase — cela permettrait de chiffrer en euros l'écart du temps de nuit et d'en faire un retour d'expérience exploitable par l'entreprise.</w:t>
      </w:r>
    </w:p>
    <w:p>
      <w:pPr>
        <w:pStyle w:val="ListNumber"/>
        <w:spacing w:after="40"/>
        <w:ind w:left="397"/>
        <w:jc w:val="both"/>
      </w:pPr>
      <w:r>
        <w:rPr>
          <w:b/>
        </w:rPr>
        <w:t>Consommations après travaux</w:t>
      </w:r>
      <w:r>
        <w:t xml:space="preserve"> (plateforme ENERGISME ou factures) sur une saison de chauffe complète : c'est ce qui transformera l'estimation de l'audit en résultat démontré.</w:t>
      </w:r>
    </w:p>
    <w:p>
      <w:pPr>
        <w:pStyle w:val="ListNumber"/>
        <w:spacing w:after="40"/>
        <w:ind w:left="397"/>
        <w:jc w:val="both"/>
      </w:pPr>
      <w:r>
        <w:rPr>
          <w:b/>
        </w:rPr>
        <w:t>Catégorie ERP</w:t>
      </w:r>
      <w:r>
        <w:t xml:space="preserve"> du magasin et effectif théorique (registre de sécurité ou dernier PV de commission de sécurité).</w:t>
      </w:r>
    </w:p>
    <w:p>
      <w:pPr>
        <w:pStyle w:val="ListNumber"/>
        <w:spacing w:after="40"/>
        <w:ind w:left="397"/>
        <w:jc w:val="both"/>
      </w:pPr>
      <w:r>
        <w:rPr>
          <w:b/>
        </w:rPr>
        <w:t>Nom et fonction de l'ingénieur énergéticien</w:t>
      </w:r>
      <w:r>
        <w:t xml:space="preserve"> VINCI Energies auteur de l'audit, pour les remerciements et la partie 3.1.3.</w:t>
      </w:r>
    </w:p>
    <w:p>
      <w:pPr>
        <w:pStyle w:val="ListNumber"/>
        <w:spacing w:after="40"/>
        <w:ind w:left="397"/>
        <w:jc w:val="both"/>
      </w:pPr>
      <w:r>
        <w:rPr>
          <w:b/>
        </w:rPr>
        <w:t>Date de signature du devis</w:t>
      </w:r>
      <w:r>
        <w:t xml:space="preserve"> et confirmation du versement effectif de la prime CEE de 11 000 €.</w:t>
      </w:r>
    </w:p>
    <w:p>
      <w:r>
        <w:rPr>
          <w:b/>
        </w:rPr>
        <w:t>Pour compléter la partie 2 (missions globales)</w:t>
      </w:r>
    </w:p>
    <w:p>
      <w:pPr>
        <w:pStyle w:val="ListNumber"/>
        <w:spacing w:after="40"/>
        <w:ind w:left="397"/>
        <w:jc w:val="both"/>
      </w:pPr>
      <w:r>
        <w:t>Nombre de sites suivis, de visites préventives et de dépannages par an, taux de transformation de vos devis.</w:t>
      </w:r>
    </w:p>
    <w:p>
      <w:pPr>
        <w:pStyle w:val="ListNumber"/>
        <w:spacing w:after="40"/>
        <w:ind w:left="397"/>
        <w:jc w:val="both"/>
      </w:pPr>
      <w:r>
        <w:t>Certifications de l'entreprise (MASE, QUALIBAT, ISO, attestation de capacité fluides).</w:t>
      </w:r>
    </w:p>
    <w:p>
      <w:pPr>
        <w:pStyle w:val="ListNumber"/>
        <w:spacing w:after="40"/>
        <w:ind w:left="397"/>
        <w:jc w:val="both"/>
      </w:pPr>
      <w:r>
        <w:t>Convention collective applicable et modalités de majoration du travail de nuit.</w:t>
      </w:r>
    </w:p>
    <w:p>
      <w:r>
        <w:rPr>
          <w:b/>
        </w:rPr>
        <w:t>Note sur les visuels</w:t>
      </w:r>
      <w:r>
        <w:t xml:space="preserve"> : en l'absence de photos de chantier, le support de soutenance s'appuiera sur les </w:t>
      </w:r>
      <w:r>
        <w:rPr>
          <w:b/>
        </w:rPr>
        <w:t>figures de l'audit</w:t>
      </w:r>
      <w:r>
        <w:t xml:space="preserve"> (répartition des consommations par usage, projection 2030), le </w:t>
      </w:r>
      <w:r>
        <w:rPr>
          <w:b/>
        </w:rPr>
        <w:t>schéma de principe</w:t>
      </w:r>
      <w:r>
        <w:t xml:space="preserve"> du rapport, le </w:t>
      </w:r>
      <w:r>
        <w:rPr>
          <w:b/>
        </w:rPr>
        <w:t>tableau des neuf actions</w:t>
      </w:r>
      <w:r>
        <w:t xml:space="preserve"> et la </w:t>
      </w:r>
      <w:r>
        <w:rPr>
          <w:b/>
        </w:rPr>
        <w:t>décomposition du devis</w:t>
      </w:r>
      <w:r>
        <w:t>. C'est suffisant : un jury retient mieux trois chiffres clés qu'une photo de nacelle.</w:t>
      </w:r>
    </w:p>
    <w:p>
      <w:r>
        <w:br w:type="page"/>
      </w:r>
    </w:p>
    <w:p>
      <w:pPr>
        <w:pStyle w:val="Heading2"/>
      </w:pPr>
      <w:r>
        <w:t>Annexe B — Pièces à joindre au rapport définitif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autofit"/>
        <w:tblCellMar>
          <w:top w:w="10" w:type="dxa"/>
          <w:left w:w="60" w:type="dxa"/>
          <w:bottom w:w="10" w:type="dxa"/>
          <w:right w:w="60" w:type="dxa"/>
        </w:tblCellMar>
      </w:tblPr>
      <w:tblGrid>
        <w:gridCol w:w="3438"/>
        <w:gridCol w:w="3438"/>
        <w:gridCol w:w="3438"/>
      </w:tblGrid>
      <w:tr>
        <w:tc>
          <w:tcPr>
            <w:tcW w:type="dxa" w:w="3438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N°</w:t>
            </w:r>
          </w:p>
        </w:tc>
        <w:tc>
          <w:tcPr>
            <w:tcW w:type="dxa" w:w="3438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Pièce</w:t>
            </w:r>
          </w:p>
        </w:tc>
        <w:tc>
          <w:tcPr>
            <w:tcW w:type="dxa" w:w="3438"/>
            <w:shd w:val="clear" w:fill="003A70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B1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Rapport d'audit énergétique du site (visite 17/04/2025, rapport 30/07/2025)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Disponible</w:t>
            </w:r>
          </w:p>
        </w:tc>
      </w:tr>
      <w:tr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B2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Devis Santerne — décomposition du prix par poste (90 000 € HT)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Disponible</w:t>
            </w:r>
            <w:r>
              <w:rPr>
                <w:sz w:val="16"/>
              </w:rPr>
              <w:t xml:space="preserve"> — à anonymiser si l'école l'exige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B3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Organigramme de l'entreprise 2025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Disponible</w:t>
            </w:r>
          </w:p>
        </w:tc>
      </w:tr>
      <w:tr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B4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Attestations CACES® R486, habilitations électriques, attestation d'aptitude fluides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Disponibles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B5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Fiches techniques DAIKIN (RXYQ36U, FXMQ-250A, Roundflow 125, MADOKA)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télécharger sur le site constructeur</w:t>
            </w:r>
          </w:p>
        </w:tc>
      </w:tr>
      <w:tr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B6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Plans d'implantation et schéma de principe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récupérer (DOE)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B7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Attestation CEE / dossier TotalEnergies – GreenFlex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récupérer</w:t>
            </w:r>
          </w:p>
        </w:tc>
      </w:tr>
      <w:tr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B8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Plan de prévention et analyse de risques du chantier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récupérer (QSE — J. FAYARD)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B9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Permis de feu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récupérer</w:t>
            </w:r>
          </w:p>
        </w:tc>
      </w:tr>
      <w:tr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B10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PV de mise en service DAIKIN, dossier DESP et relevés d'équilibrage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récupérer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B11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PV de réception et levée de réserves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récupérer</w:t>
            </w:r>
          </w:p>
        </w:tc>
      </w:tr>
      <w:tr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B12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Planning de chantier réel (mi-avril → mi-juin 2026)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reconstituer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B13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Extrait du relevé OPERAT / année de référence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À demander au client</w:t>
            </w:r>
          </w:p>
        </w:tc>
      </w:tr>
      <w:tr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B14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Relevés de consommation après travaux (ENERGISME)</w:t>
            </w:r>
          </w:p>
        </w:tc>
        <w:tc>
          <w:tcPr>
            <w:tcW w:type="dxa" w:w="3438"/>
            <w:shd w:val="clear" w:fill="EEF2F7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Non disponible à ce jour</w:t>
            </w:r>
          </w:p>
        </w:tc>
      </w:tr>
      <w:tr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B15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Photos du chantier</w:t>
            </w:r>
          </w:p>
        </w:tc>
        <w:tc>
          <w:tcPr>
            <w:tcW w:type="dxa" w:w="3438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Non disponibles — le support s'appuie sur les figures de l'audit</w:t>
            </w:r>
          </w:p>
        </w:tc>
      </w:tr>
    </w:tbl>
    <w:p>
      <w:pPr>
        <w:spacing w:after="40" w:before="0"/>
      </w:pPr>
    </w:p>
    <w:sectPr w:rsidR="00FC693F" w:rsidRPr="0006063C" w:rsidSect="00034616">
      <w:footerReference w:type="default" r:id="rId9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  <w:jc w:val="both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003A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003A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003A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jc w:val="left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444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