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7F7F7F"/>
          <w:sz w:val="26"/>
        </w:rPr>
        <w:t>ÉTUDE DE CAS — GESTION DE PROJET BÂTIMENT</w:t>
      </w:r>
    </w:p>
    <w:p>
      <w:pPr>
        <w:spacing w:after="240"/>
        <w:pBdr>
          <w:bottom w:val="single" w:sz="22" w:space="1" w:color="1F4E79"/>
        </w:pBdr>
      </w:pPr>
    </w:p>
    <w:p>
      <w:pPr>
        <w:spacing w:after="80"/>
        <w:jc w:val="center"/>
      </w:pPr>
      <w:r>
        <w:rPr>
          <w:b/>
          <w:color w:val="1F4E79"/>
          <w:sz w:val="52"/>
        </w:rPr>
        <w:t>Construction du siège social DIGITECH France</w:t>
      </w:r>
    </w:p>
    <w:p>
      <w:pPr>
        <w:spacing w:after="200"/>
        <w:jc w:val="center"/>
      </w:pPr>
      <w:r>
        <w:rPr>
          <w:i/>
          <w:color w:val="2E6BA8"/>
          <w:sz w:val="28"/>
        </w:rPr>
        <w:t>Bâtiment tertiaire à énergie positive — Entreprise BATIPROJET</w:t>
      </w:r>
    </w:p>
    <w:p>
      <w:pPr>
        <w:spacing w:after="280"/>
        <w:pBdr>
          <w:bottom w:val="single" w:sz="22" w:space="1" w:color="1F4E79"/>
        </w:pBdr>
      </w:pPr>
    </w:p>
    <w:p>
      <w:pPr>
        <w:jc w:val="center"/>
      </w:pPr>
      <w:r>
        <w:rPr>
          <w:color w:val="404040"/>
          <w:sz w:val="24"/>
        </w:rPr>
        <w:t>Dossier de conduite de projet — réponses au travail demandé</w:t>
      </w:r>
    </w:p>
    <w:p>
      <w:pPr>
        <w:jc w:val="center"/>
      </w:pPr>
      <w:r>
        <w:rPr>
          <w:i/>
          <w:color w:val="7F7F7F"/>
          <w:sz w:val="21"/>
        </w:rPr>
        <w:t>Rôle : chef de projet BATIPROJET   ·   17 juin 2026</w:t>
      </w:r>
    </w:p>
    <w:p>
      <w:pPr>
        <w:spacing w:after="120"/>
      </w:pPr>
    </w:p>
    <w:p>
      <w:pPr>
        <w:spacing w:after="80"/>
      </w:pPr>
      <w:r>
        <w:rPr>
          <w:b/>
          <w:color w:val="1F4E79"/>
          <w:sz w:val="28"/>
        </w:rPr>
        <w:t>Sommaire</w:t>
      </w:r>
    </w:p>
    <w:p>
      <w:pPr>
        <w:spacing w:after="40"/>
        <w:ind w:left="113"/>
      </w:pPr>
      <w:r>
        <w:fldChar w:fldCharType="begin" w:dirty="true"/>
        <w:instrText xml:space="preserve"> TOC \o "1-1" \h \z \u </w:instrText>
        <w:fldChar w:fldCharType="separate"/>
      </w:r>
      <w:r>
        <w:rPr>
          <w:color w:val="1F4E79"/>
          <w:sz w:val="22"/>
        </w:rPr>
        <w:t>Question 1 — Note de cadrage</w:t>
      </w:r>
    </w:p>
    <w:p>
      <w:pPr>
        <w:spacing w:after="40"/>
        <w:ind w:left="113"/>
      </w:pPr>
      <w:r>
        <w:rPr>
          <w:color w:val="1F4E79"/>
          <w:sz w:val="22"/>
        </w:rPr>
        <w:t>Question 2 — Work Breakdown Structure (WBS)</w:t>
      </w:r>
    </w:p>
    <w:p>
      <w:pPr>
        <w:spacing w:after="40"/>
        <w:ind w:left="113"/>
      </w:pPr>
      <w:r>
        <w:rPr>
          <w:color w:val="1F4E79"/>
          <w:sz w:val="22"/>
        </w:rPr>
        <w:t>Question 3 — Planning et diagramme de Gantt</w:t>
      </w:r>
    </w:p>
    <w:p>
      <w:pPr>
        <w:spacing w:after="40"/>
        <w:ind w:left="113"/>
      </w:pPr>
      <w:r>
        <w:rPr>
          <w:color w:val="1F4E79"/>
          <w:sz w:val="22"/>
        </w:rPr>
        <w:t>Question 4 — Matrice RACI</w:t>
      </w:r>
    </w:p>
    <w:p>
      <w:pPr>
        <w:spacing w:after="40"/>
        <w:ind w:left="113"/>
      </w:pPr>
      <w:r>
        <w:rPr>
          <w:color w:val="1F4E79"/>
          <w:sz w:val="22"/>
        </w:rPr>
        <w:t>Question 5 — Analyse des risques</w:t>
      </w:r>
    </w:p>
    <w:p>
      <w:pPr>
        <w:spacing w:after="40"/>
        <w:ind w:left="113"/>
      </w:pPr>
      <w:r>
        <w:rPr>
          <w:color w:val="1F4E79"/>
          <w:sz w:val="22"/>
        </w:rPr>
        <w:t>Question 6 — Analyse réglementaire et normative</w:t>
      </w:r>
    </w:p>
    <w:p>
      <w:pPr>
        <w:spacing w:after="40"/>
        <w:ind w:left="113"/>
      </w:pPr>
      <w:r>
        <w:rPr>
          <w:color w:val="1F4E79"/>
          <w:sz w:val="22"/>
        </w:rPr>
        <w:t>Questions de réflexion stratégique</w:t>
      </w:r>
    </w:p>
    <w:p>
      <w:pPr>
        <w:spacing w:after="40"/>
        <w:ind w:left="113"/>
      </w:pPr>
      <w:r>
        <w:rPr>
          <w:color w:val="1F4E79"/>
          <w:sz w:val="22"/>
        </w:rPr>
        <w:t>Conclusion — recommandation au comité de direction</w:t>
      </w:r>
      <w:r>
        <w:fldChar w:fldCharType="end"/>
      </w:r>
    </w:p>
    <w:p>
      <w:pPr>
        <w:spacing w:after="40" w:before="0"/>
        <w:jc w:val="both"/>
      </w:pPr>
      <w:r>
        <w:rPr>
          <w:b w:val="0"/>
          <w:i/>
          <w:color w:val="7F7F7F"/>
          <w:sz w:val="18"/>
        </w:rPr>
        <w:t>Sommaire automatique : pour afficher les numéros de page, clic droit dessus puis « Mettre à jour les champs » (F9).</w:t>
      </w:r>
    </w:p>
    <w:p>
      <w:r>
        <w:br w:type="page"/>
      </w:r>
    </w:p>
    <w:p>
      <w:pPr>
        <w:pStyle w:val="Heading1"/>
      </w:pPr>
      <w:r>
        <w:t>Question 1 — Note de cadrage</w:t>
      </w:r>
    </w:p>
    <w:p>
      <w:pPr>
        <w:pStyle w:val="Heading2"/>
      </w:pPr>
      <w:r>
        <w:t>Contexte</w:t>
      </w:r>
    </w:p>
    <w:p>
      <w:pPr>
        <w:spacing w:after="140" w:before="0"/>
        <w:jc w:val="both"/>
      </w:pPr>
      <w:r>
        <w:rPr>
          <w:b w:val="0"/>
          <w:i w:val="0"/>
          <w:sz w:val="22"/>
        </w:rPr>
        <w:t>La société DIGITECH France a retenu l’entreprise générale BATIPROJET pour construire son nouveau siège social, dans une zone d’activités en pleine expansion. Le programme porte sur un bâtiment tertiaire moderne de 4 500 m² de bureaux sur 3 niveaux, complété par des espaces collaboratifs, une salle de conférence de 200 places, un restaurant d’entreprise, un parking de 120 places avec bornes de recharge, une toiture photovoltaïque et des espaces verts. Le maître d’ouvrage veut en faire une référence régionale en matière de performance environnementale (bâtiment à énergie positive).</w:t>
      </w:r>
    </w:p>
    <w:p>
      <w:pPr>
        <w:spacing w:after="140" w:before="0"/>
        <w:jc w:val="both"/>
      </w:pPr>
      <w:r>
        <w:rPr>
          <w:b w:val="0"/>
          <w:i w:val="0"/>
          <w:sz w:val="22"/>
        </w:rPr>
        <w:t>Le chantier se trouve à proximité immédiate d’un quartier résidentiel dont les riverains ont déjà fait part de leurs inquiétudes sur les nuisances. À cela s’ajoutent plusieurs contraintes de marché : hausse du coût des matériaux, tension sur la main-d’œuvre qualifiée et délais d’approvisionnement longs sur certains équipements techniques.</w:t>
      </w:r>
    </w:p>
    <w:p>
      <w:pPr>
        <w:pStyle w:val="Heading2"/>
      </w:pPr>
      <w:r>
        <w:t>Objectifs du projet</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1871"/>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20"/>
              </w:rPr>
              <w:t>Axe</w:t>
            </w:r>
          </w:p>
        </w:tc>
        <w:tc>
          <w:tcPr>
            <w:tcW w:type="dxa" w:w="7483"/>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20"/>
              </w:rPr>
              <w:t>Objectif</w:t>
            </w:r>
          </w:p>
        </w:tc>
      </w:tr>
      <w:tr>
        <w:tc>
          <w:tcPr>
            <w:tcW w:type="dxa" w:w="1871"/>
            <w:vAlign w:val="center"/>
            <w:tcMar>
              <w:top w:w="30" w:type="dxa"/>
              <w:bottom w:w="30" w:type="dxa"/>
              <w:start w:w="80" w:type="dxa"/>
              <w:end w:w="80" w:type="dxa"/>
            </w:tcMar>
          </w:tcPr>
          <w:p>
            <w:pPr>
              <w:spacing w:after="0" w:before="0"/>
              <w:jc w:val="left"/>
            </w:pPr>
            <w:r/>
            <w:r>
              <w:rPr>
                <w:rFonts w:ascii="Calibri" w:hAnsi="Calibri"/>
                <w:b w:val="0"/>
                <w:sz w:val="20"/>
              </w:rPr>
              <w:t>Coût</w:t>
            </w:r>
          </w:p>
        </w:tc>
        <w:tc>
          <w:tcPr>
            <w:tcW w:type="dxa" w:w="7483"/>
            <w:vAlign w:val="center"/>
            <w:tcMar>
              <w:top w:w="30" w:type="dxa"/>
              <w:bottom w:w="30" w:type="dxa"/>
              <w:start w:w="80" w:type="dxa"/>
              <w:end w:w="80" w:type="dxa"/>
            </w:tcMar>
          </w:tcPr>
          <w:p>
            <w:pPr>
              <w:spacing w:after="0" w:before="0"/>
              <w:jc w:val="left"/>
            </w:pPr>
            <w:r/>
            <w:r>
              <w:rPr>
                <w:rFonts w:ascii="Calibri" w:hAnsi="Calibri"/>
                <w:b w:val="0"/>
                <w:sz w:val="20"/>
              </w:rPr>
              <w:t>Budget maximal de 9 M€ HT</w:t>
            </w:r>
          </w:p>
        </w:tc>
      </w:tr>
      <w:tr>
        <w:tc>
          <w:tcPr>
            <w:tcW w:type="dxa" w:w="1871"/>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Délai</w:t>
            </w:r>
          </w:p>
        </w:tc>
        <w:tc>
          <w:tcPr>
            <w:tcW w:type="dxa" w:w="7483"/>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Livraison sous 18 mois</w:t>
            </w:r>
          </w:p>
        </w:tc>
      </w:tr>
      <w:tr>
        <w:tc>
          <w:tcPr>
            <w:tcW w:type="dxa" w:w="1871"/>
            <w:vAlign w:val="center"/>
            <w:tcMar>
              <w:top w:w="30" w:type="dxa"/>
              <w:bottom w:w="30" w:type="dxa"/>
              <w:start w:w="80" w:type="dxa"/>
              <w:end w:w="80" w:type="dxa"/>
            </w:tcMar>
          </w:tcPr>
          <w:p>
            <w:pPr>
              <w:spacing w:after="0" w:before="0"/>
              <w:jc w:val="left"/>
            </w:pPr>
            <w:r/>
            <w:r>
              <w:rPr>
                <w:rFonts w:ascii="Calibri" w:hAnsi="Calibri"/>
                <w:b w:val="0"/>
                <w:sz w:val="20"/>
              </w:rPr>
              <w:t>Qualité</w:t>
            </w:r>
          </w:p>
        </w:tc>
        <w:tc>
          <w:tcPr>
            <w:tcW w:type="dxa" w:w="7483"/>
            <w:vAlign w:val="center"/>
            <w:tcMar>
              <w:top w:w="30" w:type="dxa"/>
              <w:bottom w:w="30" w:type="dxa"/>
              <w:start w:w="80" w:type="dxa"/>
              <w:end w:w="80" w:type="dxa"/>
            </w:tcMar>
          </w:tcPr>
          <w:p>
            <w:pPr>
              <w:spacing w:after="0" w:before="0"/>
              <w:jc w:val="left"/>
            </w:pPr>
            <w:r/>
            <w:r>
              <w:rPr>
                <w:rFonts w:ascii="Calibri" w:hAnsi="Calibri"/>
                <w:b w:val="0"/>
                <w:sz w:val="20"/>
              </w:rPr>
              <w:t>Conformité réglementaire, certification HQE, RE2020, taux de réserves &lt; 2 % à la réception</w:t>
            </w:r>
          </w:p>
        </w:tc>
      </w:tr>
      <w:tr>
        <w:tc>
          <w:tcPr>
            <w:tcW w:type="dxa" w:w="1871"/>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Sécurité</w:t>
            </w:r>
          </w:p>
        </w:tc>
        <w:tc>
          <w:tcPr>
            <w:tcW w:type="dxa" w:w="7483"/>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Zéro accident grave, respect intégral du plan SPS, taux de fréquence inférieur aux moyennes du secteur</w:t>
            </w:r>
          </w:p>
        </w:tc>
      </w:tr>
      <w:tr>
        <w:tc>
          <w:tcPr>
            <w:tcW w:type="dxa" w:w="1871"/>
            <w:vAlign w:val="center"/>
            <w:tcMar>
              <w:top w:w="30" w:type="dxa"/>
              <w:bottom w:w="30" w:type="dxa"/>
              <w:start w:w="80" w:type="dxa"/>
              <w:end w:w="80" w:type="dxa"/>
            </w:tcMar>
          </w:tcPr>
          <w:p>
            <w:pPr>
              <w:spacing w:after="0" w:before="0"/>
              <w:jc w:val="left"/>
            </w:pPr>
            <w:r/>
            <w:r>
              <w:rPr>
                <w:rFonts w:ascii="Calibri" w:hAnsi="Calibri"/>
                <w:b w:val="0"/>
                <w:sz w:val="20"/>
              </w:rPr>
              <w:t>Environnement</w:t>
            </w:r>
          </w:p>
        </w:tc>
        <w:tc>
          <w:tcPr>
            <w:tcW w:type="dxa" w:w="7483"/>
            <w:vAlign w:val="center"/>
            <w:tcMar>
              <w:top w:w="30" w:type="dxa"/>
              <w:bottom w:w="30" w:type="dxa"/>
              <w:start w:w="80" w:type="dxa"/>
              <w:end w:w="80" w:type="dxa"/>
            </w:tcMar>
          </w:tcPr>
          <w:p>
            <w:pPr>
              <w:spacing w:after="0" w:before="0"/>
              <w:jc w:val="left"/>
            </w:pPr>
            <w:r/>
            <w:r>
              <w:rPr>
                <w:rFonts w:ascii="Calibri" w:hAnsi="Calibri"/>
                <w:b w:val="0"/>
                <w:sz w:val="20"/>
              </w:rPr>
              <w:t>Réduction des émissions carbone, valorisation des déchets, optimisation des consommations</w:t>
            </w:r>
          </w:p>
        </w:tc>
      </w:tr>
    </w:tbl>
    <w:p>
      <w:pPr>
        <w:spacing w:before="40" w:after="180"/>
        <w:jc w:val="center"/>
      </w:pPr>
      <w:r>
        <w:rPr>
          <w:i/>
          <w:color w:val="7F7F7F"/>
          <w:sz w:val="18"/>
        </w:rPr>
        <w:t>Objectifs du projet (Document 1).</w:t>
      </w:r>
    </w:p>
    <w:p>
      <w:pPr>
        <w:pStyle w:val="Heading2"/>
      </w:pPr>
      <w:r>
        <w:t>Livrables attendus</w:t>
      </w:r>
    </w:p>
    <w:p>
      <w:pPr>
        <w:spacing w:after="140" w:before="0"/>
        <w:jc w:val="both"/>
      </w:pPr>
      <w:r>
        <w:rPr>
          <w:b w:val="0"/>
          <w:i w:val="0"/>
          <w:sz w:val="22"/>
        </w:rPr>
        <w:t>Le projet doit aboutir à la livraison d’un bâtiment complet et opérationnel : les 4 500 m² de bureaux, la salle de conférence, le restaurant, le parking et ses bornes de recharge, la toiture photovoltaïque et les espaces verts. S’y ajoutent les livrables documentaires et de conformité : la certification HQE, l’attestation de conformité RE2020, le dossier des ouvrages exécutés (DOE) et le procès-verbal de réception.</w:t>
      </w:r>
    </w:p>
    <w:p>
      <w:pPr>
        <w:pStyle w:val="Heading2"/>
      </w:pPr>
      <w:r>
        <w:t>Parties prenantes</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3515"/>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20"/>
              </w:rPr>
              <w:t>Acteur</w:t>
            </w:r>
          </w:p>
        </w:tc>
        <w:tc>
          <w:tcPr>
            <w:tcW w:type="dxa" w:w="5839"/>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20"/>
              </w:rPr>
              <w:t>Rôle</w:t>
            </w:r>
          </w:p>
        </w:tc>
      </w:tr>
      <w:tr>
        <w:tc>
          <w:tcPr>
            <w:tcW w:type="dxa" w:w="3515"/>
            <w:vAlign w:val="center"/>
            <w:tcMar>
              <w:top w:w="30" w:type="dxa"/>
              <w:bottom w:w="30" w:type="dxa"/>
              <w:start w:w="80" w:type="dxa"/>
              <w:end w:w="80" w:type="dxa"/>
            </w:tcMar>
          </w:tcPr>
          <w:p>
            <w:pPr>
              <w:spacing w:after="0" w:before="0"/>
              <w:jc w:val="left"/>
            </w:pPr>
            <w:r/>
            <w:r>
              <w:rPr>
                <w:rFonts w:ascii="Calibri" w:hAnsi="Calibri"/>
                <w:b w:val="0"/>
                <w:sz w:val="20"/>
              </w:rPr>
              <w:t>Maître d’ouvrage (DIGITECH France)</w:t>
            </w:r>
          </w:p>
        </w:tc>
        <w:tc>
          <w:tcPr>
            <w:tcW w:type="dxa" w:w="5839"/>
            <w:vAlign w:val="center"/>
            <w:tcMar>
              <w:top w:w="30" w:type="dxa"/>
              <w:bottom w:w="30" w:type="dxa"/>
              <w:start w:w="80" w:type="dxa"/>
              <w:end w:w="80" w:type="dxa"/>
            </w:tcMar>
          </w:tcPr>
          <w:p>
            <w:pPr>
              <w:spacing w:after="0" w:before="0"/>
              <w:jc w:val="left"/>
            </w:pPr>
            <w:r/>
            <w:r>
              <w:rPr>
                <w:rFonts w:ascii="Calibri" w:hAnsi="Calibri"/>
                <w:b w:val="0"/>
                <w:sz w:val="20"/>
              </w:rPr>
              <w:t>Finance le projet et valide les décisions</w:t>
            </w:r>
          </w:p>
        </w:tc>
      </w:tr>
      <w:tr>
        <w:tc>
          <w:tcPr>
            <w:tcW w:type="dxa" w:w="3515"/>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Chef de projet (BATIPROJET)</w:t>
            </w:r>
          </w:p>
        </w:tc>
        <w:tc>
          <w:tcPr>
            <w:tcW w:type="dxa" w:w="5839"/>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Pilote le projet des études à la réception</w:t>
            </w:r>
          </w:p>
        </w:tc>
      </w:tr>
      <w:tr>
        <w:tc>
          <w:tcPr>
            <w:tcW w:type="dxa" w:w="3515"/>
            <w:vAlign w:val="center"/>
            <w:tcMar>
              <w:top w:w="30" w:type="dxa"/>
              <w:bottom w:w="30" w:type="dxa"/>
              <w:start w:w="80" w:type="dxa"/>
              <w:end w:w="80" w:type="dxa"/>
            </w:tcMar>
          </w:tcPr>
          <w:p>
            <w:pPr>
              <w:spacing w:after="0" w:before="0"/>
              <w:jc w:val="left"/>
            </w:pPr>
            <w:r/>
            <w:r>
              <w:rPr>
                <w:rFonts w:ascii="Calibri" w:hAnsi="Calibri"/>
                <w:b w:val="0"/>
                <w:sz w:val="20"/>
              </w:rPr>
              <w:t>Architecte</w:t>
            </w:r>
          </w:p>
        </w:tc>
        <w:tc>
          <w:tcPr>
            <w:tcW w:type="dxa" w:w="5839"/>
            <w:vAlign w:val="center"/>
            <w:tcMar>
              <w:top w:w="30" w:type="dxa"/>
              <w:bottom w:w="30" w:type="dxa"/>
              <w:start w:w="80" w:type="dxa"/>
              <w:end w:w="80" w:type="dxa"/>
            </w:tcMar>
          </w:tcPr>
          <w:p>
            <w:pPr>
              <w:spacing w:after="0" w:before="0"/>
              <w:jc w:val="left"/>
            </w:pPr>
            <w:r/>
            <w:r>
              <w:rPr>
                <w:rFonts w:ascii="Calibri" w:hAnsi="Calibri"/>
                <w:b w:val="0"/>
                <w:sz w:val="20"/>
              </w:rPr>
              <w:t>Conception architecturale</w:t>
            </w:r>
          </w:p>
        </w:tc>
      </w:tr>
      <w:tr>
        <w:tc>
          <w:tcPr>
            <w:tcW w:type="dxa" w:w="3515"/>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Bureau d’études techniques (BET)</w:t>
            </w:r>
          </w:p>
        </w:tc>
        <w:tc>
          <w:tcPr>
            <w:tcW w:type="dxa" w:w="5839"/>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Études techniques (structure, fluides, thermique)</w:t>
            </w:r>
          </w:p>
        </w:tc>
      </w:tr>
      <w:tr>
        <w:tc>
          <w:tcPr>
            <w:tcW w:type="dxa" w:w="3515"/>
            <w:vAlign w:val="center"/>
            <w:tcMar>
              <w:top w:w="30" w:type="dxa"/>
              <w:bottom w:w="30" w:type="dxa"/>
              <w:start w:w="80" w:type="dxa"/>
              <w:end w:w="80" w:type="dxa"/>
            </w:tcMar>
          </w:tcPr>
          <w:p>
            <w:pPr>
              <w:spacing w:after="0" w:before="0"/>
              <w:jc w:val="left"/>
            </w:pPr>
            <w:r/>
            <w:r>
              <w:rPr>
                <w:rFonts w:ascii="Calibri" w:hAnsi="Calibri"/>
                <w:b w:val="0"/>
                <w:sz w:val="20"/>
              </w:rPr>
              <w:t>Bureau de contrôle</w:t>
            </w:r>
          </w:p>
        </w:tc>
        <w:tc>
          <w:tcPr>
            <w:tcW w:type="dxa" w:w="5839"/>
            <w:vAlign w:val="center"/>
            <w:tcMar>
              <w:top w:w="30" w:type="dxa"/>
              <w:bottom w:w="30" w:type="dxa"/>
              <w:start w:w="80" w:type="dxa"/>
              <w:end w:w="80" w:type="dxa"/>
            </w:tcMar>
          </w:tcPr>
          <w:p>
            <w:pPr>
              <w:spacing w:after="0" w:before="0"/>
              <w:jc w:val="left"/>
            </w:pPr>
            <w:r/>
            <w:r>
              <w:rPr>
                <w:rFonts w:ascii="Calibri" w:hAnsi="Calibri"/>
                <w:b w:val="0"/>
                <w:sz w:val="20"/>
              </w:rPr>
              <w:t>Vérification de la conformité</w:t>
            </w:r>
          </w:p>
        </w:tc>
      </w:tr>
      <w:tr>
        <w:tc>
          <w:tcPr>
            <w:tcW w:type="dxa" w:w="3515"/>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Coordinateur SPS</w:t>
            </w:r>
          </w:p>
        </w:tc>
        <w:tc>
          <w:tcPr>
            <w:tcW w:type="dxa" w:w="5839"/>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Sécurité et protection de la santé sur le chantier</w:t>
            </w:r>
          </w:p>
        </w:tc>
      </w:tr>
      <w:tr>
        <w:tc>
          <w:tcPr>
            <w:tcW w:type="dxa" w:w="3515"/>
            <w:vAlign w:val="center"/>
            <w:tcMar>
              <w:top w:w="30" w:type="dxa"/>
              <w:bottom w:w="30" w:type="dxa"/>
              <w:start w:w="80" w:type="dxa"/>
              <w:end w:w="80" w:type="dxa"/>
            </w:tcMar>
          </w:tcPr>
          <w:p>
            <w:pPr>
              <w:spacing w:after="0" w:before="0"/>
              <w:jc w:val="left"/>
            </w:pPr>
            <w:r/>
            <w:r>
              <w:rPr>
                <w:rFonts w:ascii="Calibri" w:hAnsi="Calibri"/>
                <w:b w:val="0"/>
                <w:sz w:val="20"/>
              </w:rPr>
              <w:t>Conducteur de travaux</w:t>
            </w:r>
          </w:p>
        </w:tc>
        <w:tc>
          <w:tcPr>
            <w:tcW w:type="dxa" w:w="5839"/>
            <w:vAlign w:val="center"/>
            <w:tcMar>
              <w:top w:w="30" w:type="dxa"/>
              <w:bottom w:w="30" w:type="dxa"/>
              <w:start w:w="80" w:type="dxa"/>
              <w:end w:w="80" w:type="dxa"/>
            </w:tcMar>
          </w:tcPr>
          <w:p>
            <w:pPr>
              <w:spacing w:after="0" w:before="0"/>
              <w:jc w:val="left"/>
            </w:pPr>
            <w:r/>
            <w:r>
              <w:rPr>
                <w:rFonts w:ascii="Calibri" w:hAnsi="Calibri"/>
                <w:b w:val="0"/>
                <w:sz w:val="20"/>
              </w:rPr>
              <w:t>Réalisation et coordination des travaux</w:t>
            </w:r>
          </w:p>
        </w:tc>
      </w:tr>
      <w:tr>
        <w:tc>
          <w:tcPr>
            <w:tcW w:type="dxa" w:w="3515"/>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Sous-traitants</w:t>
            </w:r>
          </w:p>
        </w:tc>
        <w:tc>
          <w:tcPr>
            <w:tcW w:type="dxa" w:w="5839"/>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Exécution des différents lots</w:t>
            </w:r>
          </w:p>
        </w:tc>
      </w:tr>
      <w:tr>
        <w:tc>
          <w:tcPr>
            <w:tcW w:type="dxa" w:w="3515"/>
            <w:vAlign w:val="center"/>
            <w:tcMar>
              <w:top w:w="30" w:type="dxa"/>
              <w:bottom w:w="30" w:type="dxa"/>
              <w:start w:w="80" w:type="dxa"/>
              <w:end w:w="80" w:type="dxa"/>
            </w:tcMar>
          </w:tcPr>
          <w:p>
            <w:pPr>
              <w:spacing w:after="0" w:before="0"/>
              <w:jc w:val="left"/>
            </w:pPr>
            <w:r/>
            <w:r>
              <w:rPr>
                <w:rFonts w:ascii="Calibri" w:hAnsi="Calibri"/>
                <w:b w:val="0"/>
                <w:sz w:val="20"/>
              </w:rPr>
              <w:t>Mairie</w:t>
            </w:r>
          </w:p>
        </w:tc>
        <w:tc>
          <w:tcPr>
            <w:tcW w:type="dxa" w:w="5839"/>
            <w:vAlign w:val="center"/>
            <w:tcMar>
              <w:top w:w="30" w:type="dxa"/>
              <w:bottom w:w="30" w:type="dxa"/>
              <w:start w:w="80" w:type="dxa"/>
              <w:end w:w="80" w:type="dxa"/>
            </w:tcMar>
          </w:tcPr>
          <w:p>
            <w:pPr>
              <w:spacing w:after="0" w:before="0"/>
              <w:jc w:val="left"/>
            </w:pPr>
            <w:r/>
            <w:r>
              <w:rPr>
                <w:rFonts w:ascii="Calibri" w:hAnsi="Calibri"/>
                <w:b w:val="0"/>
                <w:sz w:val="20"/>
              </w:rPr>
              <w:t>Instruction du permis et autorisations</w:t>
            </w:r>
          </w:p>
        </w:tc>
      </w:tr>
      <w:tr>
        <w:tc>
          <w:tcPr>
            <w:tcW w:type="dxa" w:w="3515"/>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Futurs utilisateurs / riverains</w:t>
            </w:r>
          </w:p>
        </w:tc>
        <w:tc>
          <w:tcPr>
            <w:tcW w:type="dxa" w:w="5839"/>
            <w:vAlign w:val="center"/>
            <w:tcMar>
              <w:top w:w="30" w:type="dxa"/>
              <w:bottom w:w="30" w:type="dxa"/>
              <w:start w:w="80" w:type="dxa"/>
              <w:end w:w="80" w:type="dxa"/>
            </w:tcMar>
            <w:shd w:val="clear" w:color="auto" w:fill="EAF1F8"/>
          </w:tcPr>
          <w:p>
            <w:pPr>
              <w:spacing w:after="0" w:before="0"/>
              <w:jc w:val="left"/>
            </w:pPr>
            <w:r/>
            <w:r>
              <w:rPr>
                <w:rFonts w:ascii="Calibri" w:hAnsi="Calibri"/>
                <w:b w:val="0"/>
                <w:sz w:val="20"/>
              </w:rPr>
              <w:t>Usage du bâtiment / voisinage à concerter</w:t>
            </w:r>
          </w:p>
        </w:tc>
      </w:tr>
    </w:tbl>
    <w:p>
      <w:pPr>
        <w:spacing w:before="40" w:after="180"/>
        <w:jc w:val="center"/>
      </w:pPr>
      <w:r>
        <w:rPr>
          <w:i/>
          <w:color w:val="7F7F7F"/>
          <w:sz w:val="18"/>
        </w:rPr>
        <w:t>Principales parties prenantes (Document 3).</w:t>
      </w:r>
    </w:p>
    <w:p>
      <w:pPr>
        <w:pStyle w:val="Heading2"/>
      </w:pPr>
      <w:r>
        <w:t>Contraintes</w:t>
      </w:r>
    </w:p>
    <w:p>
      <w:pPr>
        <w:pStyle w:val="ListBullet"/>
        <w:spacing w:after="60"/>
      </w:pPr>
      <w:r>
        <w:rPr>
          <w:sz w:val="22"/>
        </w:rPr>
        <w:t>budget plafonné à 9 M€ HT et délai ferme de 18 mois ;</w:t>
      </w:r>
    </w:p>
    <w:p>
      <w:pPr>
        <w:pStyle w:val="ListBullet"/>
        <w:spacing w:after="60"/>
      </w:pPr>
      <w:r>
        <w:rPr>
          <w:sz w:val="22"/>
        </w:rPr>
        <w:t>hausse du coût des matériaux de construction ;</w:t>
      </w:r>
    </w:p>
    <w:p>
      <w:pPr>
        <w:pStyle w:val="ListBullet"/>
        <w:spacing w:after="60"/>
      </w:pPr>
      <w:r>
        <w:rPr>
          <w:sz w:val="22"/>
        </w:rPr>
        <w:t>tension sur les ressources humaines qualifiées ;</w:t>
      </w:r>
    </w:p>
    <w:p>
      <w:pPr>
        <w:pStyle w:val="ListBullet"/>
        <w:spacing w:after="60"/>
      </w:pPr>
      <w:r>
        <w:rPr>
          <w:sz w:val="22"/>
        </w:rPr>
        <w:t>délais d’approvisionnement importants sur certains équipements techniques ;</w:t>
      </w:r>
    </w:p>
    <w:p>
      <w:pPr>
        <w:pStyle w:val="ListBullet"/>
        <w:spacing w:after="60"/>
      </w:pPr>
      <w:r>
        <w:rPr>
          <w:sz w:val="22"/>
        </w:rPr>
        <w:t>exigences renforcées en matière de sécurité et d’environnement ;</w:t>
      </w:r>
    </w:p>
    <w:p>
      <w:pPr>
        <w:pStyle w:val="ListBullet"/>
        <w:spacing w:after="60"/>
      </w:pPr>
      <w:r>
        <w:rPr>
          <w:sz w:val="22"/>
        </w:rPr>
        <w:t>proximité d’un quartier résidentiel (nuisances, attentes des riverains).</w:t>
      </w:r>
    </w:p>
    <w:p>
      <w:pPr>
        <w:pStyle w:val="Heading2"/>
      </w:pPr>
      <w:r>
        <w:t>Hypothèses</w:t>
      </w:r>
    </w:p>
    <w:p>
      <w:pPr>
        <w:pStyle w:val="ListBullet"/>
        <w:spacing w:after="60"/>
      </w:pPr>
      <w:r>
        <w:rPr>
          <w:sz w:val="22"/>
        </w:rPr>
        <w:t>le terrain est disponible, viabilisé et le financement du maître d’ouvrage est sécurisé ;</w:t>
      </w:r>
    </w:p>
    <w:p>
      <w:pPr>
        <w:pStyle w:val="ListBullet"/>
        <w:spacing w:after="60"/>
      </w:pPr>
      <w:r>
        <w:rPr>
          <w:sz w:val="22"/>
        </w:rPr>
        <w:t>le permis de construire est obtenu dans les délais prévus ;</w:t>
      </w:r>
    </w:p>
    <w:p>
      <w:pPr>
        <w:pStyle w:val="ListBullet"/>
        <w:spacing w:after="60"/>
      </w:pPr>
      <w:r>
        <w:rPr>
          <w:sz w:val="22"/>
        </w:rPr>
        <w:t>aucun aléa géotechnique majeur n’est rencontré au terrassement ;</w:t>
      </w:r>
    </w:p>
    <w:p>
      <w:pPr>
        <w:pStyle w:val="ListBullet"/>
        <w:spacing w:after="60"/>
      </w:pPr>
      <w:r>
        <w:rPr>
          <w:sz w:val="22"/>
        </w:rPr>
        <w:t>les entreprises et sous-traitants nécessaires sont disponibles ;</w:t>
      </w:r>
    </w:p>
    <w:p>
      <w:pPr>
        <w:pStyle w:val="ListBullet"/>
        <w:spacing w:after="60"/>
      </w:pPr>
      <w:r>
        <w:rPr>
          <w:sz w:val="22"/>
        </w:rPr>
        <w:t>les conditions météorologiques restent dans la normale saisonnière.</w:t>
      </w:r>
    </w:p>
    <w:p>
      <w:pPr>
        <w:pStyle w:val="Heading2"/>
      </w:pPr>
      <w:r>
        <w:t>Indicateurs de succès</w:t>
      </w:r>
    </w:p>
    <w:p>
      <w:pPr>
        <w:pStyle w:val="ListBullet"/>
        <w:spacing w:after="60"/>
      </w:pPr>
      <w:r>
        <w:rPr>
          <w:sz w:val="22"/>
        </w:rPr>
        <w:t>livraison dans le délai de 18 mois et coût final ≤ 9 M€ HT ;</w:t>
      </w:r>
    </w:p>
    <w:p>
      <w:pPr>
        <w:pStyle w:val="ListBullet"/>
        <w:spacing w:after="60"/>
      </w:pPr>
      <w:r>
        <w:rPr>
          <w:sz w:val="22"/>
        </w:rPr>
        <w:t>certification HQE obtenue et conformité RE2020 attestée ;</w:t>
      </w:r>
    </w:p>
    <w:p>
      <w:pPr>
        <w:pStyle w:val="ListBullet"/>
        <w:spacing w:after="60"/>
      </w:pPr>
      <w:r>
        <w:rPr>
          <w:sz w:val="22"/>
        </w:rPr>
        <w:t>taux de réserves inférieur à 2 % à la réception ;</w:t>
      </w:r>
    </w:p>
    <w:p>
      <w:pPr>
        <w:pStyle w:val="ListBullet"/>
        <w:spacing w:after="60"/>
      </w:pPr>
      <w:r>
        <w:rPr>
          <w:sz w:val="22"/>
        </w:rPr>
        <w:t>zéro accident grave et taux de fréquence sous la moyenne du secteur ;</w:t>
      </w:r>
    </w:p>
    <w:p>
      <w:pPr>
        <w:pStyle w:val="ListBullet"/>
        <w:spacing w:after="60"/>
      </w:pPr>
      <w:r>
        <w:rPr>
          <w:sz w:val="22"/>
        </w:rPr>
        <w:t>objectifs de valorisation des déchets et de réduction carbone atteints.</w:t>
      </w:r>
    </w:p>
    <w:p>
      <w:pPr>
        <w:pStyle w:val="Heading2"/>
      </w:pPr>
      <w:r>
        <w:t>Facteurs clés de réussite</w:t>
      </w:r>
    </w:p>
    <w:p>
      <w:pPr>
        <w:pStyle w:val="ListBullet"/>
        <w:spacing w:after="60"/>
      </w:pPr>
      <w:r>
        <w:rPr>
          <w:sz w:val="22"/>
        </w:rPr>
        <w:t>anticiper le permis de construire et les approvisionnements à long délai ;</w:t>
      </w:r>
    </w:p>
    <w:p>
      <w:pPr>
        <w:pStyle w:val="ListBullet"/>
        <w:spacing w:after="60"/>
      </w:pPr>
      <w:r>
        <w:rPr>
          <w:sz w:val="22"/>
        </w:rPr>
        <w:t>piloter de près le chemin critique et les jalons ;</w:t>
      </w:r>
    </w:p>
    <w:p>
      <w:pPr>
        <w:pStyle w:val="ListBullet"/>
        <w:spacing w:after="60"/>
      </w:pPr>
      <w:r>
        <w:rPr>
          <w:sz w:val="22"/>
        </w:rPr>
        <w:t>coordonner les lots, idéalement via une maquette BIM ;</w:t>
      </w:r>
    </w:p>
    <w:p>
      <w:pPr>
        <w:pStyle w:val="ListBullet"/>
        <w:spacing w:after="60"/>
      </w:pPr>
      <w:r>
        <w:rPr>
          <w:sz w:val="22"/>
        </w:rPr>
        <w:t>concerter les riverains et tenir un chantier propre et à faibles nuisances ;</w:t>
      </w:r>
    </w:p>
    <w:p>
      <w:pPr>
        <w:pStyle w:val="ListBullet"/>
        <w:spacing w:after="60"/>
      </w:pPr>
      <w:r>
        <w:rPr>
          <w:sz w:val="22"/>
        </w:rPr>
        <w:t>sélectionner des entreprises fiables et manager la sécurité au quotidien.</w:t>
      </w:r>
    </w:p>
    <w:p>
      <w:r>
        <w:br w:type="page"/>
      </w:r>
    </w:p>
    <w:p>
      <w:pPr>
        <w:pStyle w:val="Heading1"/>
      </w:pPr>
      <w:r>
        <w:t>Question 2 — Work Breakdown Structure (WBS)</w:t>
      </w:r>
    </w:p>
    <w:p>
      <w:pPr>
        <w:spacing w:after="140" w:before="0"/>
        <w:jc w:val="both"/>
      </w:pPr>
      <w:r>
        <w:rPr>
          <w:b w:val="0"/>
          <w:i w:val="0"/>
          <w:sz w:val="22"/>
        </w:rPr>
        <w:t>Le projet est découpé en six phases, depuis les études jusqu’à la réception, complétées par un lot transverse de management de projet. Chaque maille correspond à un livrable identifiable, que l’on peut affecter à un responsable, budgéter et planifier : le découpage est donc directement exploitable pour le pilotage opérationnel.</w:t>
      </w:r>
    </w:p>
    <w:p>
      <w:pPr>
        <w:spacing w:before="80" w:after="40"/>
        <w:jc w:val="center"/>
      </w:pPr>
      <w:r>
        <w:drawing>
          <wp:inline xmlns:a="http://schemas.openxmlformats.org/drawingml/2006/main" xmlns:pic="http://schemas.openxmlformats.org/drawingml/2006/picture">
            <wp:extent cx="5976000" cy="2522338"/>
            <wp:docPr id="1" name="Picture 1"/>
            <wp:cNvGraphicFramePr>
              <a:graphicFrameLocks noChangeAspect="1"/>
            </wp:cNvGraphicFramePr>
            <a:graphic>
              <a:graphicData uri="http://schemas.openxmlformats.org/drawingml/2006/picture">
                <pic:pic>
                  <pic:nvPicPr>
                    <pic:cNvPr id="0" name="wbs.png"/>
                    <pic:cNvPicPr/>
                  </pic:nvPicPr>
                  <pic:blipFill>
                    <a:blip r:embed="rId9"/>
                    <a:stretch>
                      <a:fillRect/>
                    </a:stretch>
                  </pic:blipFill>
                  <pic:spPr>
                    <a:xfrm>
                      <a:off x="0" y="0"/>
                      <a:ext cx="5976000" cy="2522338"/>
                    </a:xfrm>
                    <a:prstGeom prst="rect"/>
                  </pic:spPr>
                </pic:pic>
              </a:graphicData>
            </a:graphic>
          </wp:inline>
        </w:drawing>
      </w:r>
    </w:p>
    <w:p>
      <w:pPr>
        <w:spacing w:before="40" w:after="180"/>
        <w:jc w:val="center"/>
      </w:pPr>
      <w:r>
        <w:rPr>
          <w:i/>
          <w:color w:val="7F7F7F"/>
          <w:sz w:val="18"/>
        </w:rPr>
        <w:t>WBS du projet — 6 phases et un lot transverse de management.</w:t>
      </w:r>
    </w:p>
    <w:p>
      <w:pPr>
        <w:spacing w:after="140" w:before="0"/>
        <w:jc w:val="both"/>
      </w:pPr>
      <w:r>
        <w:rPr>
          <w:b w:val="0"/>
          <w:i w:val="0"/>
          <w:sz w:val="22"/>
        </w:rPr>
        <w:t>Le lot transverse (pilotage, qualité HQE/RE2020, sécurité SPS, environnement et BIM) court sur toute la durée du projet : il ne produit pas un ouvrage mais garantit que les objectifs de coût, de délai, de qualité, de sécurité et d’environnement sont tenus.</w:t>
      </w:r>
    </w:p>
    <w:p>
      <w:r>
        <w:br w:type="page"/>
      </w:r>
    </w:p>
    <w:p>
      <w:pPr>
        <w:pStyle w:val="Heading1"/>
      </w:pPr>
      <w:r>
        <w:t>Question 3 — Planning et diagramme de Gantt</w:t>
      </w:r>
    </w:p>
    <w:p>
      <w:pPr>
        <w:spacing w:after="140" w:before="0"/>
        <w:jc w:val="both"/>
      </w:pPr>
      <w:r>
        <w:rPr>
          <w:b w:val="0"/>
          <w:i w:val="0"/>
          <w:sz w:val="22"/>
        </w:rPr>
        <w:t>À partir des durées du Document 2, j’ai défini les liens logiques entre activités. Trois activités d’études peuvent se chevaucher en amont (la consultation des entreprises se déroule pendant l’instruction du permis), puis le chantier s’enchaîne de façon essentiellement séquentielle ; seuls les lots techniques se déroulent en parallèle du second œuvre.</w:t>
      </w:r>
    </w:p>
    <w:p>
      <w:pPr>
        <w:pStyle w:val="Heading2"/>
      </w:pPr>
      <w:r>
        <w:t>Tableau des activités et dépendances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3175"/>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9"/>
              </w:rPr>
              <w:t>Activité</w:t>
            </w:r>
          </w:p>
        </w:tc>
        <w:tc>
          <w:tcPr>
            <w:tcW w:type="dxa" w:w="1474"/>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9"/>
              </w:rPr>
              <w:t>Durée (mois)</w:t>
            </w:r>
          </w:p>
        </w:tc>
        <w:tc>
          <w:tcPr>
            <w:tcW w:type="dxa" w:w="3175"/>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9"/>
              </w:rPr>
              <w:t>Antériorité</w:t>
            </w:r>
          </w:p>
        </w:tc>
        <w:tc>
          <w:tcPr>
            <w:tcW w:type="dxa" w:w="1531"/>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9"/>
              </w:rPr>
              <w:t>Critique</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Études détaillées</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2</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Permis de construire</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3</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Études détaillées</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tcPr>
          <w:p>
            <w:pPr>
              <w:spacing w:after="0" w:before="0"/>
              <w:jc w:val="left"/>
            </w:pPr>
            <w:r/>
            <w:r>
              <w:rPr>
                <w:rFonts w:ascii="Calibri" w:hAnsi="Calibri"/>
                <w:b w:val="0"/>
                <w:sz w:val="19"/>
              </w:rPr>
              <w:t>Consultation des entreprises</w:t>
            </w:r>
          </w:p>
        </w:tc>
        <w:tc>
          <w:tcPr>
            <w:tcW w:type="dxa" w:w="1474"/>
            <w:vAlign w:val="center"/>
            <w:tcMar>
              <w:top w:w="30" w:type="dxa"/>
              <w:bottom w:w="30" w:type="dxa"/>
              <w:start w:w="80" w:type="dxa"/>
              <w:end w:w="80" w:type="dxa"/>
            </w:tcMar>
          </w:tcPr>
          <w:p>
            <w:pPr>
              <w:spacing w:after="0" w:before="0"/>
              <w:jc w:val="center"/>
            </w:pPr>
            <w:r/>
            <w:r>
              <w:rPr>
                <w:rFonts w:ascii="Calibri" w:hAnsi="Calibri"/>
                <w:b w:val="0"/>
                <w:sz w:val="19"/>
              </w:rPr>
              <w:t>2</w:t>
            </w:r>
          </w:p>
        </w:tc>
        <w:tc>
          <w:tcPr>
            <w:tcW w:type="dxa" w:w="3175"/>
            <w:vAlign w:val="center"/>
            <w:tcMar>
              <w:top w:w="30" w:type="dxa"/>
              <w:bottom w:w="30" w:type="dxa"/>
              <w:start w:w="80" w:type="dxa"/>
              <w:end w:w="80" w:type="dxa"/>
            </w:tcMar>
          </w:tcPr>
          <w:p>
            <w:pPr>
              <w:spacing w:after="0" w:before="0"/>
              <w:jc w:val="left"/>
            </w:pPr>
            <w:r/>
            <w:r>
              <w:rPr>
                <w:rFonts w:ascii="Calibri" w:hAnsi="Calibri"/>
                <w:b w:val="0"/>
                <w:sz w:val="19"/>
              </w:rPr>
              <w:t>Études détaillées</w:t>
            </w:r>
          </w:p>
        </w:tc>
        <w:tc>
          <w:tcPr>
            <w:tcW w:type="dxa" w:w="1531"/>
            <w:vAlign w:val="center"/>
            <w:tcMar>
              <w:top w:w="30" w:type="dxa"/>
              <w:bottom w:w="30" w:type="dxa"/>
              <w:start w:w="80" w:type="dxa"/>
              <w:end w:w="80" w:type="dxa"/>
            </w:tcMar>
          </w:tcPr>
          <w:p>
            <w:pPr>
              <w:spacing w:after="0" w:before="0"/>
              <w:jc w:val="center"/>
            </w:pPr>
            <w:r/>
            <w:r>
              <w:rPr>
                <w:rFonts w:ascii="Calibri" w:hAnsi="Calibri"/>
                <w:b w:val="0"/>
                <w:sz w:val="19"/>
              </w:rPr>
              <w:t>Non (marge 1)</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Installation de chantier</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1</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Permis + Consultation</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Terrassement</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1</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Installation</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Fondations</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2</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Terrassement</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Structure béton</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4</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Fondations</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Couverture / étanchéité</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2</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Structure béton</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Second œuvre</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4</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Couverture / étanchéité</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shd w:val="clear" w:color="auto" w:fill="EAF1F8"/>
          </w:tcPr>
          <w:p>
            <w:pPr>
              <w:spacing w:after="0" w:before="0"/>
              <w:jc w:val="left"/>
            </w:pPr>
            <w:r/>
            <w:r>
              <w:rPr>
                <w:rFonts w:ascii="Calibri" w:hAnsi="Calibri"/>
                <w:b w:val="0"/>
                <w:sz w:val="19"/>
              </w:rPr>
              <w:t>Lots techniques</w:t>
            </w:r>
          </w:p>
        </w:tc>
        <w:tc>
          <w:tcPr>
            <w:tcW w:type="dxa" w:w="1474"/>
            <w:vAlign w:val="center"/>
            <w:tcMar>
              <w:top w:w="30" w:type="dxa"/>
              <w:bottom w:w="30" w:type="dxa"/>
              <w:start w:w="80" w:type="dxa"/>
              <w:end w:w="80" w:type="dxa"/>
            </w:tcMar>
            <w:shd w:val="clear" w:color="auto" w:fill="EAF1F8"/>
          </w:tcPr>
          <w:p>
            <w:pPr>
              <w:spacing w:after="0" w:before="0"/>
              <w:jc w:val="center"/>
            </w:pPr>
            <w:r/>
            <w:r>
              <w:rPr>
                <w:rFonts w:ascii="Calibri" w:hAnsi="Calibri"/>
                <w:b w:val="0"/>
                <w:sz w:val="19"/>
              </w:rPr>
              <w:t>3</w:t>
            </w:r>
          </w:p>
        </w:tc>
        <w:tc>
          <w:tcPr>
            <w:tcW w:type="dxa" w:w="3175"/>
            <w:vAlign w:val="center"/>
            <w:tcMar>
              <w:top w:w="30" w:type="dxa"/>
              <w:bottom w:w="30" w:type="dxa"/>
              <w:start w:w="80" w:type="dxa"/>
              <w:end w:w="80" w:type="dxa"/>
            </w:tcMar>
            <w:shd w:val="clear" w:color="auto" w:fill="EAF1F8"/>
          </w:tcPr>
          <w:p>
            <w:pPr>
              <w:spacing w:after="0" w:before="0"/>
              <w:jc w:val="left"/>
            </w:pPr>
            <w:r/>
            <w:r>
              <w:rPr>
                <w:rFonts w:ascii="Calibri" w:hAnsi="Calibri"/>
                <w:b w:val="0"/>
                <w:sz w:val="19"/>
              </w:rPr>
              <w:t>Couverture / étanchéité</w:t>
            </w:r>
          </w:p>
        </w:tc>
        <w:tc>
          <w:tcPr>
            <w:tcW w:type="dxa" w:w="1531"/>
            <w:vAlign w:val="center"/>
            <w:tcMar>
              <w:top w:w="30" w:type="dxa"/>
              <w:bottom w:w="30" w:type="dxa"/>
              <w:start w:w="80" w:type="dxa"/>
              <w:end w:w="80" w:type="dxa"/>
            </w:tcMar>
            <w:shd w:val="clear" w:color="auto" w:fill="EAF1F8"/>
          </w:tcPr>
          <w:p>
            <w:pPr>
              <w:spacing w:after="0" w:before="0"/>
              <w:jc w:val="center"/>
            </w:pPr>
            <w:r/>
            <w:r>
              <w:rPr>
                <w:rFonts w:ascii="Calibri" w:hAnsi="Calibri"/>
                <w:b w:val="0"/>
                <w:sz w:val="19"/>
              </w:rPr>
              <w:t>Non (marge 1)</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Essais et mise en service</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1</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Second œuvre + Lots techniques</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r>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Réception</w:t>
            </w:r>
          </w:p>
        </w:tc>
        <w:tc>
          <w:tcPr>
            <w:tcW w:type="dxa" w:w="1474"/>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1</w:t>
            </w:r>
          </w:p>
        </w:tc>
        <w:tc>
          <w:tcPr>
            <w:tcW w:type="dxa" w:w="3175"/>
            <w:vAlign w:val="center"/>
            <w:tcMar>
              <w:top w:w="30" w:type="dxa"/>
              <w:bottom w:w="30" w:type="dxa"/>
              <w:start w:w="80" w:type="dxa"/>
              <w:end w:w="80" w:type="dxa"/>
            </w:tcMar>
            <w:shd w:val="clear" w:color="auto" w:fill="E8F5E9"/>
          </w:tcPr>
          <w:p>
            <w:pPr>
              <w:spacing w:after="0" w:before="0"/>
              <w:jc w:val="left"/>
            </w:pPr>
            <w:r/>
            <w:r>
              <w:rPr>
                <w:rFonts w:ascii="Calibri" w:hAnsi="Calibri"/>
                <w:b w:val="0"/>
                <w:sz w:val="19"/>
              </w:rPr>
              <w:t>Essais et mise en service</w:t>
            </w:r>
          </w:p>
        </w:tc>
        <w:tc>
          <w:tcPr>
            <w:tcW w:type="dxa" w:w="1531"/>
            <w:vAlign w:val="center"/>
            <w:tcMar>
              <w:top w:w="30" w:type="dxa"/>
              <w:bottom w:w="30" w:type="dxa"/>
              <w:start w:w="80" w:type="dxa"/>
              <w:end w:w="80" w:type="dxa"/>
            </w:tcMar>
            <w:shd w:val="clear" w:color="auto" w:fill="E8F5E9"/>
          </w:tcPr>
          <w:p>
            <w:pPr>
              <w:spacing w:after="0" w:before="0"/>
              <w:jc w:val="center"/>
            </w:pPr>
            <w:r/>
            <w:r>
              <w:rPr>
                <w:rFonts w:ascii="Calibri" w:hAnsi="Calibri"/>
                <w:b w:val="0"/>
                <w:sz w:val="19"/>
              </w:rPr>
              <w:t>Oui</w:t>
            </w:r>
          </w:p>
        </w:tc>
      </w:tr>
    </w:tbl>
    <w:p>
      <w:pPr>
        <w:spacing w:before="40" w:after="180"/>
        <w:jc w:val="center"/>
      </w:pPr>
      <w:r>
        <w:rPr>
          <w:i/>
          <w:color w:val="7F7F7F"/>
          <w:sz w:val="18"/>
        </w:rPr>
        <w:t>Durées (Document 2), dépendances retenues et appartenance au chemin critique.</w:t>
      </w:r>
    </w:p>
    <w:p>
      <w:pPr>
        <w:pStyle w:val="Heading2"/>
      </w:pPr>
      <w:r>
        <w:t>Diagramme de Gantt</w:t>
      </w:r>
    </w:p>
    <w:p>
      <w:pPr>
        <w:spacing w:before="80" w:after="40"/>
        <w:jc w:val="center"/>
      </w:pPr>
      <w:r>
        <w:drawing>
          <wp:inline xmlns:a="http://schemas.openxmlformats.org/drawingml/2006/main" xmlns:pic="http://schemas.openxmlformats.org/drawingml/2006/picture">
            <wp:extent cx="5976000" cy="3084868"/>
            <wp:docPr id="2" name="Picture 2"/>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5976000" cy="3084868"/>
                    </a:xfrm>
                    <a:prstGeom prst="rect"/>
                  </pic:spPr>
                </pic:pic>
              </a:graphicData>
            </a:graphic>
          </wp:inline>
        </w:drawing>
      </w:r>
    </w:p>
    <w:p>
      <w:pPr>
        <w:spacing w:before="40" w:after="180"/>
        <w:jc w:val="center"/>
      </w:pPr>
      <w:r>
        <w:rPr>
          <w:i/>
          <w:color w:val="7F7F7F"/>
          <w:sz w:val="18"/>
        </w:rPr>
        <w:t>Diagramme de Gantt — chemin critique en rouge, marges en gris.</w:t>
      </w:r>
    </w:p>
    <w:p>
      <w:pPr>
        <w:pStyle w:val="Heading2"/>
      </w:pPr>
      <w:r>
        <w:t>Chemin critique et durée</w:t>
      </w:r>
    </w:p>
    <w:p>
      <w:pPr>
        <w:spacing w:after="140" w:before="0"/>
        <w:jc w:val="both"/>
      </w:pPr>
      <w:r>
        <w:rPr>
          <w:b/>
          <w:i w:val="0"/>
          <w:color w:val="1F4E79"/>
          <w:sz w:val="22"/>
        </w:rPr>
        <w:t>Chemin critique : Études détaillées → Permis de construire → Installation → Terrassement → Fondations → Structure béton → Couverture/étanchéité → Second œuvre → Essais → Réception.</w:t>
      </w:r>
    </w:p>
    <w:tbl>
      <w:tblPr>
        <w:tblW w:type="auto" w:w="0"/>
        <w:jc w:val="center"/>
        <w:tblLook w:firstColumn="1" w:firstRow="1" w:lastColumn="0" w:lastRow="0" w:noHBand="0" w:noVBand="1" w:val="04A0"/>
      </w:tblPr>
      <w:tblGrid>
        <w:gridCol w:w="9746"/>
      </w:tblGrid>
      <w:tr>
        <w:tc>
          <w:tcPr>
            <w:tcW w:type="dxa" w:w="9411"/>
            <w:shd w:val="clear" w:color="auto" w:fill="FDECEA"/>
            <w:tcMar>
              <w:top w:w="110" w:type="dxa"/>
              <w:bottom w:w="110" w:type="dxa"/>
              <w:start w:w="180" w:type="dxa"/>
              <w:end w:w="180" w:type="dxa"/>
            </w:tcMar>
            <w:tcBorders>
              <w:top w:val="single" w:sz="18" w:color="C0392B"/>
              <w:bottom w:val="single" w:sz="18" w:color="C0392B"/>
              <w:start w:val="single" w:sz="18" w:color="C0392B"/>
              <w:end w:val="single" w:sz="18" w:color="C0392B"/>
            </w:tcBorders>
          </w:tcPr>
          <w:p>
            <w:pPr>
              <w:spacing w:after="60"/>
            </w:pPr>
            <w:r>
              <w:rPr>
                <w:b/>
                <w:color w:val="1F4E79"/>
                <w:sz w:val="22"/>
              </w:rPr>
              <w:t>Résultat du planning</w:t>
            </w:r>
          </w:p>
          <w:p>
            <w:pPr>
              <w:spacing w:after="40"/>
            </w:pPr>
            <w:r>
              <w:rPr>
                <w:color w:val="404040"/>
                <w:sz w:val="21"/>
              </w:rPr>
              <w:t>Durée totale du chemin critique = 21 mois.</w:t>
            </w:r>
          </w:p>
          <w:p>
            <w:pPr>
              <w:spacing w:after="40"/>
            </w:pPr>
            <w:r>
              <w:rPr>
                <w:color w:val="404040"/>
                <w:sz w:val="21"/>
              </w:rPr>
              <w:t>Or l’objectif de livraison est de 18 mois : le planning prévisionnel dépasse la cible de 3 mois. Tenir les 18 mois suppose de comprimer le chemin critique (voir la question de réflexion n° 3).</w:t>
            </w:r>
          </w:p>
        </w:tc>
      </w:tr>
    </w:tbl>
    <w:p>
      <w:pPr>
        <w:spacing w:after="40"/>
      </w:pPr>
    </w:p>
    <w:p>
      <w:pPr>
        <w:pStyle w:val="Heading2"/>
      </w:pPr>
      <w:r>
        <w:t>Activités susceptibles de générer des retards</w:t>
      </w:r>
    </w:p>
    <w:p>
      <w:pPr>
        <w:pStyle w:val="ListBullet"/>
        <w:spacing w:after="60"/>
      </w:pPr>
      <w:r>
        <w:rPr>
          <w:b/>
          <w:sz w:val="22"/>
        </w:rPr>
        <w:t xml:space="preserve">Permis de construire : </w:t>
      </w:r>
      <w:r>
        <w:rPr>
          <w:sz w:val="22"/>
        </w:rPr>
        <w:t>administratif et hors maîtrise directe de l’entreprise, c’est le premier risque de dérapage du planning ;</w:t>
      </w:r>
    </w:p>
    <w:p>
      <w:pPr>
        <w:pStyle w:val="ListBullet"/>
        <w:spacing w:after="60"/>
      </w:pPr>
      <w:r>
        <w:rPr>
          <w:b/>
          <w:sz w:val="22"/>
        </w:rPr>
        <w:t xml:space="preserve">Structure béton : </w:t>
      </w:r>
      <w:r>
        <w:rPr>
          <w:sz w:val="22"/>
        </w:rPr>
        <w:t>4 mois sur le chemin critique, sensible aux intempéries et à la disponibilité des équipes ;</w:t>
      </w:r>
    </w:p>
    <w:p>
      <w:pPr>
        <w:pStyle w:val="ListBullet"/>
        <w:spacing w:after="60"/>
      </w:pPr>
      <w:r>
        <w:rPr>
          <w:b/>
          <w:sz w:val="22"/>
        </w:rPr>
        <w:t xml:space="preserve">Second œuvre : </w:t>
      </w:r>
      <w:r>
        <w:rPr>
          <w:sz w:val="22"/>
        </w:rPr>
        <w:t>4 mois, forte coactivité entre corps d’état et dépendance aux approvisionnements ;</w:t>
      </w:r>
    </w:p>
    <w:p>
      <w:pPr>
        <w:pStyle w:val="ListBullet"/>
        <w:spacing w:after="60"/>
      </w:pPr>
      <w:r>
        <w:rPr>
          <w:b/>
          <w:sz w:val="22"/>
        </w:rPr>
        <w:t xml:space="preserve">Lots techniques : </w:t>
      </w:r>
      <w:r>
        <w:rPr>
          <w:sz w:val="22"/>
        </w:rPr>
        <w:t>délais d’approvisionnement longs (panneaux photovoltaïques, CVC, bornes de recharge) qui peuvent contaminer le planning malgré leur marge.</w:t>
      </w:r>
    </w:p>
    <w:p>
      <w:r>
        <w:br w:type="page"/>
      </w:r>
    </w:p>
    <w:p>
      <w:pPr>
        <w:pStyle w:val="Heading1"/>
      </w:pPr>
      <w:r>
        <w:t>Question 4 — Matrice RACI</w:t>
      </w:r>
    </w:p>
    <w:p>
      <w:pPr>
        <w:spacing w:after="140" w:before="0"/>
        <w:jc w:val="both"/>
      </w:pPr>
      <w:r>
        <w:rPr>
          <w:b w:val="0"/>
          <w:i w:val="0"/>
          <w:sz w:val="22"/>
        </w:rPr>
        <w:t>La matrice ci-dessous répartit les responsabilités sur les huit activités demandées. Pour chaque activité, un seul acteur est responsable (A), afin que la ligne de décision reste claire.</w:t>
      </w:r>
    </w:p>
    <w:tbl>
      <w:tblPr>
        <w:tblStyle w:val="TableGrid"/>
        <w:tblW w:type="auto" w:w="0"/>
        <w:jc w:val="center"/>
        <w:tblLayout w:type="fixed"/>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2211"/>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Activité</w:t>
            </w:r>
          </w:p>
        </w:tc>
        <w:tc>
          <w:tcPr>
            <w:tcW w:type="dxa" w:w="1049"/>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MOA</w:t>
            </w:r>
          </w:p>
        </w:tc>
        <w:tc>
          <w:tcPr>
            <w:tcW w:type="dxa" w:w="1162"/>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Chef de projet</w:t>
            </w:r>
          </w:p>
        </w:tc>
        <w:tc>
          <w:tcPr>
            <w:tcW w:type="dxa" w:w="1049"/>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Architecte</w:t>
            </w:r>
          </w:p>
        </w:tc>
        <w:tc>
          <w:tcPr>
            <w:tcW w:type="dxa" w:w="765"/>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BET</w:t>
            </w:r>
          </w:p>
        </w:tc>
        <w:tc>
          <w:tcPr>
            <w:tcW w:type="dxa" w:w="1049"/>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Cond. travaux</w:t>
            </w:r>
          </w:p>
        </w:tc>
        <w:tc>
          <w:tcPr>
            <w:tcW w:type="dxa" w:w="1049"/>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Bureau contrôle</w:t>
            </w:r>
          </w:p>
        </w:tc>
        <w:tc>
          <w:tcPr>
            <w:tcW w:type="dxa" w:w="567"/>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SPS</w:t>
            </w:r>
          </w:p>
        </w:tc>
      </w:tr>
      <w:tr>
        <w:tc>
          <w:tcPr>
            <w:tcW w:type="dxa" w:w="2211"/>
            <w:vAlign w:val="center"/>
            <w:tcMar>
              <w:top w:w="30" w:type="dxa"/>
              <w:bottom w:w="30" w:type="dxa"/>
              <w:start w:w="80" w:type="dxa"/>
              <w:end w:w="80" w:type="dxa"/>
            </w:tcMar>
          </w:tcPr>
          <w:p>
            <w:pPr>
              <w:spacing w:after="0" w:before="0"/>
              <w:jc w:val="left"/>
            </w:pPr>
            <w:r/>
            <w:r>
              <w:rPr>
                <w:rFonts w:ascii="Calibri" w:hAnsi="Calibri"/>
                <w:b w:val="0"/>
                <w:sz w:val="17"/>
              </w:rPr>
              <w:t>Études de conception</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A</w:t>
            </w:r>
          </w:p>
        </w:tc>
        <w:tc>
          <w:tcPr>
            <w:tcW w:type="dxa" w:w="1162"/>
            <w:vAlign w:val="center"/>
            <w:tcMar>
              <w:top w:w="30" w:type="dxa"/>
              <w:bottom w:w="30" w:type="dxa"/>
              <w:start w:w="80" w:type="dxa"/>
              <w:end w:w="80" w:type="dxa"/>
            </w:tcMar>
          </w:tcPr>
          <w:p>
            <w:pPr>
              <w:spacing w:after="0" w:before="0"/>
              <w:jc w:val="center"/>
            </w:pPr>
            <w:r/>
            <w:r>
              <w:rPr>
                <w:rFonts w:ascii="Calibri" w:hAnsi="Calibri"/>
                <w:b w:val="0"/>
                <w:sz w:val="17"/>
              </w:rPr>
              <w:t>C</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R</w:t>
            </w:r>
          </w:p>
        </w:tc>
        <w:tc>
          <w:tcPr>
            <w:tcW w:type="dxa" w:w="765"/>
            <w:vAlign w:val="center"/>
            <w:tcMar>
              <w:top w:w="30" w:type="dxa"/>
              <w:bottom w:w="30" w:type="dxa"/>
              <w:start w:w="80" w:type="dxa"/>
              <w:end w:w="80" w:type="dxa"/>
            </w:tcMar>
          </w:tcPr>
          <w:p>
            <w:pPr>
              <w:spacing w:after="0" w:before="0"/>
              <w:jc w:val="center"/>
            </w:pPr>
            <w:r/>
            <w:r>
              <w:rPr>
                <w:rFonts w:ascii="Calibri" w:hAnsi="Calibri"/>
                <w:b w:val="0"/>
                <w:sz w:val="17"/>
              </w:rPr>
              <w:t>R</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I</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C</w:t>
            </w:r>
          </w:p>
        </w:tc>
        <w:tc>
          <w:tcPr>
            <w:tcW w:type="dxa" w:w="567"/>
            <w:vAlign w:val="center"/>
            <w:tcMar>
              <w:top w:w="30" w:type="dxa"/>
              <w:bottom w:w="30" w:type="dxa"/>
              <w:start w:w="80" w:type="dxa"/>
              <w:end w:w="80" w:type="dxa"/>
            </w:tcMar>
          </w:tcPr>
          <w:p>
            <w:pPr>
              <w:spacing w:after="0" w:before="0"/>
              <w:jc w:val="center"/>
            </w:pPr>
            <w:r/>
            <w:r>
              <w:rPr>
                <w:rFonts w:ascii="Calibri" w:hAnsi="Calibri"/>
                <w:b w:val="0"/>
                <w:sz w:val="17"/>
              </w:rPr>
              <w:t>I</w:t>
            </w:r>
          </w:p>
        </w:tc>
      </w:tr>
      <w:tr>
        <w:tc>
          <w:tcPr>
            <w:tcW w:type="dxa" w:w="2211"/>
            <w:vAlign w:val="center"/>
            <w:tcMar>
              <w:top w:w="30" w:type="dxa"/>
              <w:bottom w:w="30" w:type="dxa"/>
              <w:start w:w="80" w:type="dxa"/>
              <w:end w:w="80" w:type="dxa"/>
            </w:tcMar>
            <w:shd w:val="clear" w:color="auto" w:fill="EAF1F8"/>
          </w:tcPr>
          <w:p>
            <w:pPr>
              <w:spacing w:after="0" w:before="0"/>
              <w:jc w:val="left"/>
            </w:pPr>
            <w:r/>
            <w:r>
              <w:rPr>
                <w:rFonts w:ascii="Calibri" w:hAnsi="Calibri"/>
                <w:b w:val="0"/>
                <w:sz w:val="17"/>
              </w:rPr>
              <w:t>Permis de construire</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I</w:t>
            </w:r>
          </w:p>
        </w:tc>
        <w:tc>
          <w:tcPr>
            <w:tcW w:type="dxa" w:w="1162"/>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A</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R</w:t>
            </w:r>
          </w:p>
        </w:tc>
        <w:tc>
          <w:tcPr>
            <w:tcW w:type="dxa" w:w="765"/>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I</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567"/>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I</w:t>
            </w:r>
          </w:p>
        </w:tc>
      </w:tr>
      <w:tr>
        <w:tc>
          <w:tcPr>
            <w:tcW w:type="dxa" w:w="2211"/>
            <w:vAlign w:val="center"/>
            <w:tcMar>
              <w:top w:w="30" w:type="dxa"/>
              <w:bottom w:w="30" w:type="dxa"/>
              <w:start w:w="80" w:type="dxa"/>
              <w:end w:w="80" w:type="dxa"/>
            </w:tcMar>
          </w:tcPr>
          <w:p>
            <w:pPr>
              <w:spacing w:after="0" w:before="0"/>
              <w:jc w:val="left"/>
            </w:pPr>
            <w:r/>
            <w:r>
              <w:rPr>
                <w:rFonts w:ascii="Calibri" w:hAnsi="Calibri"/>
                <w:b w:val="0"/>
                <w:sz w:val="17"/>
              </w:rPr>
              <w:t>Consultation des entreprises</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C</w:t>
            </w:r>
          </w:p>
        </w:tc>
        <w:tc>
          <w:tcPr>
            <w:tcW w:type="dxa" w:w="1162"/>
            <w:vAlign w:val="center"/>
            <w:tcMar>
              <w:top w:w="30" w:type="dxa"/>
              <w:bottom w:w="30" w:type="dxa"/>
              <w:start w:w="80" w:type="dxa"/>
              <w:end w:w="80" w:type="dxa"/>
            </w:tcMar>
          </w:tcPr>
          <w:p>
            <w:pPr>
              <w:spacing w:after="0" w:before="0"/>
              <w:jc w:val="center"/>
            </w:pPr>
            <w:r/>
            <w:r>
              <w:rPr>
                <w:rFonts w:ascii="Calibri" w:hAnsi="Calibri"/>
                <w:b w:val="0"/>
                <w:sz w:val="17"/>
              </w:rPr>
              <w:t>A</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C</w:t>
            </w:r>
          </w:p>
        </w:tc>
        <w:tc>
          <w:tcPr>
            <w:tcW w:type="dxa" w:w="765"/>
            <w:vAlign w:val="center"/>
            <w:tcMar>
              <w:top w:w="30" w:type="dxa"/>
              <w:bottom w:w="30" w:type="dxa"/>
              <w:start w:w="80" w:type="dxa"/>
              <w:end w:w="80" w:type="dxa"/>
            </w:tcMar>
          </w:tcPr>
          <w:p>
            <w:pPr>
              <w:spacing w:after="0" w:before="0"/>
              <w:jc w:val="center"/>
            </w:pPr>
            <w:r/>
            <w:r>
              <w:rPr>
                <w:rFonts w:ascii="Calibri" w:hAnsi="Calibri"/>
                <w:b w:val="0"/>
                <w:sz w:val="17"/>
              </w:rPr>
              <w:t>R</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I</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I</w:t>
            </w:r>
          </w:p>
        </w:tc>
        <w:tc>
          <w:tcPr>
            <w:tcW w:type="dxa" w:w="567"/>
            <w:vAlign w:val="center"/>
            <w:tcMar>
              <w:top w:w="30" w:type="dxa"/>
              <w:bottom w:w="30" w:type="dxa"/>
              <w:start w:w="80" w:type="dxa"/>
              <w:end w:w="80" w:type="dxa"/>
            </w:tcMar>
          </w:tcPr>
          <w:p>
            <w:pPr>
              <w:spacing w:after="0" w:before="0"/>
              <w:jc w:val="center"/>
            </w:pPr>
            <w:r/>
            <w:r>
              <w:rPr>
                <w:rFonts w:ascii="Calibri" w:hAnsi="Calibri"/>
                <w:b w:val="0"/>
                <w:sz w:val="17"/>
              </w:rPr>
              <w:t>I</w:t>
            </w:r>
          </w:p>
        </w:tc>
      </w:tr>
      <w:tr>
        <w:tc>
          <w:tcPr>
            <w:tcW w:type="dxa" w:w="2211"/>
            <w:vAlign w:val="center"/>
            <w:tcMar>
              <w:top w:w="30" w:type="dxa"/>
              <w:bottom w:w="30" w:type="dxa"/>
              <w:start w:w="80" w:type="dxa"/>
              <w:end w:w="80" w:type="dxa"/>
            </w:tcMar>
            <w:shd w:val="clear" w:color="auto" w:fill="EAF1F8"/>
          </w:tcPr>
          <w:p>
            <w:pPr>
              <w:spacing w:after="0" w:before="0"/>
              <w:jc w:val="left"/>
            </w:pPr>
            <w:r/>
            <w:r>
              <w:rPr>
                <w:rFonts w:ascii="Calibri" w:hAnsi="Calibri"/>
                <w:b w:val="0"/>
                <w:sz w:val="17"/>
              </w:rPr>
              <w:t>Préparation du chantier</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I</w:t>
            </w:r>
          </w:p>
        </w:tc>
        <w:tc>
          <w:tcPr>
            <w:tcW w:type="dxa" w:w="1162"/>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A</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I</w:t>
            </w:r>
          </w:p>
        </w:tc>
        <w:tc>
          <w:tcPr>
            <w:tcW w:type="dxa" w:w="765"/>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R</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567"/>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r>
      <w:tr>
        <w:tc>
          <w:tcPr>
            <w:tcW w:type="dxa" w:w="2211"/>
            <w:vAlign w:val="center"/>
            <w:tcMar>
              <w:top w:w="30" w:type="dxa"/>
              <w:bottom w:w="30" w:type="dxa"/>
              <w:start w:w="80" w:type="dxa"/>
              <w:end w:w="80" w:type="dxa"/>
            </w:tcMar>
          </w:tcPr>
          <w:p>
            <w:pPr>
              <w:spacing w:after="0" w:before="0"/>
              <w:jc w:val="left"/>
            </w:pPr>
            <w:r/>
            <w:r>
              <w:rPr>
                <w:rFonts w:ascii="Calibri" w:hAnsi="Calibri"/>
                <w:b w:val="0"/>
                <w:sz w:val="17"/>
              </w:rPr>
              <w:t>Gros œuvre</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I</w:t>
            </w:r>
          </w:p>
        </w:tc>
        <w:tc>
          <w:tcPr>
            <w:tcW w:type="dxa" w:w="1162"/>
            <w:vAlign w:val="center"/>
            <w:tcMar>
              <w:top w:w="30" w:type="dxa"/>
              <w:bottom w:w="30" w:type="dxa"/>
              <w:start w:w="80" w:type="dxa"/>
              <w:end w:w="80" w:type="dxa"/>
            </w:tcMar>
          </w:tcPr>
          <w:p>
            <w:pPr>
              <w:spacing w:after="0" w:before="0"/>
              <w:jc w:val="center"/>
            </w:pPr>
            <w:r/>
            <w:r>
              <w:rPr>
                <w:rFonts w:ascii="Calibri" w:hAnsi="Calibri"/>
                <w:b w:val="0"/>
                <w:sz w:val="17"/>
              </w:rPr>
              <w:t>A</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I</w:t>
            </w:r>
          </w:p>
        </w:tc>
        <w:tc>
          <w:tcPr>
            <w:tcW w:type="dxa" w:w="765"/>
            <w:vAlign w:val="center"/>
            <w:tcMar>
              <w:top w:w="30" w:type="dxa"/>
              <w:bottom w:w="30" w:type="dxa"/>
              <w:start w:w="80" w:type="dxa"/>
              <w:end w:w="80" w:type="dxa"/>
            </w:tcMar>
          </w:tcPr>
          <w:p>
            <w:pPr>
              <w:spacing w:after="0" w:before="0"/>
              <w:jc w:val="center"/>
            </w:pPr>
            <w:r/>
            <w:r>
              <w:rPr>
                <w:rFonts w:ascii="Calibri" w:hAnsi="Calibri"/>
                <w:b w:val="0"/>
                <w:sz w:val="17"/>
              </w:rPr>
              <w:t>C</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R</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C</w:t>
            </w:r>
          </w:p>
        </w:tc>
        <w:tc>
          <w:tcPr>
            <w:tcW w:type="dxa" w:w="567"/>
            <w:vAlign w:val="center"/>
            <w:tcMar>
              <w:top w:w="30" w:type="dxa"/>
              <w:bottom w:w="30" w:type="dxa"/>
              <w:start w:w="80" w:type="dxa"/>
              <w:end w:w="80" w:type="dxa"/>
            </w:tcMar>
          </w:tcPr>
          <w:p>
            <w:pPr>
              <w:spacing w:after="0" w:before="0"/>
              <w:jc w:val="center"/>
            </w:pPr>
            <w:r/>
            <w:r>
              <w:rPr>
                <w:rFonts w:ascii="Calibri" w:hAnsi="Calibri"/>
                <w:b w:val="0"/>
                <w:sz w:val="17"/>
              </w:rPr>
              <w:t>C</w:t>
            </w:r>
          </w:p>
        </w:tc>
      </w:tr>
      <w:tr>
        <w:tc>
          <w:tcPr>
            <w:tcW w:type="dxa" w:w="2211"/>
            <w:vAlign w:val="center"/>
            <w:tcMar>
              <w:top w:w="30" w:type="dxa"/>
              <w:bottom w:w="30" w:type="dxa"/>
              <w:start w:w="80" w:type="dxa"/>
              <w:end w:w="80" w:type="dxa"/>
            </w:tcMar>
            <w:shd w:val="clear" w:color="auto" w:fill="EAF1F8"/>
          </w:tcPr>
          <w:p>
            <w:pPr>
              <w:spacing w:after="0" w:before="0"/>
              <w:jc w:val="left"/>
            </w:pPr>
            <w:r/>
            <w:r>
              <w:rPr>
                <w:rFonts w:ascii="Calibri" w:hAnsi="Calibri"/>
                <w:b w:val="0"/>
                <w:sz w:val="17"/>
              </w:rPr>
              <w:t>Second œuvre</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I</w:t>
            </w:r>
          </w:p>
        </w:tc>
        <w:tc>
          <w:tcPr>
            <w:tcW w:type="dxa" w:w="1162"/>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A</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765"/>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R</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567"/>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r>
      <w:tr>
        <w:tc>
          <w:tcPr>
            <w:tcW w:type="dxa" w:w="2211"/>
            <w:vAlign w:val="center"/>
            <w:tcMar>
              <w:top w:w="30" w:type="dxa"/>
              <w:bottom w:w="30" w:type="dxa"/>
              <w:start w:w="80" w:type="dxa"/>
              <w:end w:w="80" w:type="dxa"/>
            </w:tcMar>
          </w:tcPr>
          <w:p>
            <w:pPr>
              <w:spacing w:after="0" w:before="0"/>
              <w:jc w:val="left"/>
            </w:pPr>
            <w:r/>
            <w:r>
              <w:rPr>
                <w:rFonts w:ascii="Calibri" w:hAnsi="Calibri"/>
                <w:b w:val="0"/>
                <w:sz w:val="17"/>
              </w:rPr>
              <w:t>Essais</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I</w:t>
            </w:r>
          </w:p>
        </w:tc>
        <w:tc>
          <w:tcPr>
            <w:tcW w:type="dxa" w:w="1162"/>
            <w:vAlign w:val="center"/>
            <w:tcMar>
              <w:top w:w="30" w:type="dxa"/>
              <w:bottom w:w="30" w:type="dxa"/>
              <w:start w:w="80" w:type="dxa"/>
              <w:end w:w="80" w:type="dxa"/>
            </w:tcMar>
          </w:tcPr>
          <w:p>
            <w:pPr>
              <w:spacing w:after="0" w:before="0"/>
              <w:jc w:val="center"/>
            </w:pPr>
            <w:r/>
            <w:r>
              <w:rPr>
                <w:rFonts w:ascii="Calibri" w:hAnsi="Calibri"/>
                <w:b w:val="0"/>
                <w:sz w:val="17"/>
              </w:rPr>
              <w:t>A</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I</w:t>
            </w:r>
          </w:p>
        </w:tc>
        <w:tc>
          <w:tcPr>
            <w:tcW w:type="dxa" w:w="765"/>
            <w:vAlign w:val="center"/>
            <w:tcMar>
              <w:top w:w="30" w:type="dxa"/>
              <w:bottom w:w="30" w:type="dxa"/>
              <w:start w:w="80" w:type="dxa"/>
              <w:end w:w="80" w:type="dxa"/>
            </w:tcMar>
          </w:tcPr>
          <w:p>
            <w:pPr>
              <w:spacing w:after="0" w:before="0"/>
              <w:jc w:val="center"/>
            </w:pPr>
            <w:r/>
            <w:r>
              <w:rPr>
                <w:rFonts w:ascii="Calibri" w:hAnsi="Calibri"/>
                <w:b w:val="0"/>
                <w:sz w:val="17"/>
              </w:rPr>
              <w:t>C</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R</w:t>
            </w:r>
          </w:p>
        </w:tc>
        <w:tc>
          <w:tcPr>
            <w:tcW w:type="dxa" w:w="1049"/>
            <w:vAlign w:val="center"/>
            <w:tcMar>
              <w:top w:w="30" w:type="dxa"/>
              <w:bottom w:w="30" w:type="dxa"/>
              <w:start w:w="80" w:type="dxa"/>
              <w:end w:w="80" w:type="dxa"/>
            </w:tcMar>
          </w:tcPr>
          <w:p>
            <w:pPr>
              <w:spacing w:after="0" w:before="0"/>
              <w:jc w:val="center"/>
            </w:pPr>
            <w:r/>
            <w:r>
              <w:rPr>
                <w:rFonts w:ascii="Calibri" w:hAnsi="Calibri"/>
                <w:b w:val="0"/>
                <w:sz w:val="17"/>
              </w:rPr>
              <w:t>C</w:t>
            </w:r>
          </w:p>
        </w:tc>
        <w:tc>
          <w:tcPr>
            <w:tcW w:type="dxa" w:w="567"/>
            <w:vAlign w:val="center"/>
            <w:tcMar>
              <w:top w:w="30" w:type="dxa"/>
              <w:bottom w:w="30" w:type="dxa"/>
              <w:start w:w="80" w:type="dxa"/>
              <w:end w:w="80" w:type="dxa"/>
            </w:tcMar>
          </w:tcPr>
          <w:p>
            <w:pPr>
              <w:spacing w:after="0" w:before="0"/>
              <w:jc w:val="center"/>
            </w:pPr>
            <w:r/>
            <w:r>
              <w:rPr>
                <w:rFonts w:ascii="Calibri" w:hAnsi="Calibri"/>
                <w:b w:val="0"/>
                <w:sz w:val="17"/>
              </w:rPr>
              <w:t>I</w:t>
            </w:r>
          </w:p>
        </w:tc>
      </w:tr>
      <w:tr>
        <w:tc>
          <w:tcPr>
            <w:tcW w:type="dxa" w:w="2211"/>
            <w:vAlign w:val="center"/>
            <w:tcMar>
              <w:top w:w="30" w:type="dxa"/>
              <w:bottom w:w="30" w:type="dxa"/>
              <w:start w:w="80" w:type="dxa"/>
              <w:end w:w="80" w:type="dxa"/>
            </w:tcMar>
            <w:shd w:val="clear" w:color="auto" w:fill="EAF1F8"/>
          </w:tcPr>
          <w:p>
            <w:pPr>
              <w:spacing w:after="0" w:before="0"/>
              <w:jc w:val="left"/>
            </w:pPr>
            <w:r/>
            <w:r>
              <w:rPr>
                <w:rFonts w:ascii="Calibri" w:hAnsi="Calibri"/>
                <w:b w:val="0"/>
                <w:sz w:val="17"/>
              </w:rPr>
              <w:t>Réception</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A</w:t>
            </w:r>
          </w:p>
        </w:tc>
        <w:tc>
          <w:tcPr>
            <w:tcW w:type="dxa" w:w="1162"/>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R</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765"/>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1049"/>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C</w:t>
            </w:r>
          </w:p>
        </w:tc>
        <w:tc>
          <w:tcPr>
            <w:tcW w:type="dxa" w:w="567"/>
            <w:vAlign w:val="center"/>
            <w:tcMar>
              <w:top w:w="30" w:type="dxa"/>
              <w:bottom w:w="30" w:type="dxa"/>
              <w:start w:w="80" w:type="dxa"/>
              <w:end w:w="80" w:type="dxa"/>
            </w:tcMar>
            <w:shd w:val="clear" w:color="auto" w:fill="EAF1F8"/>
          </w:tcPr>
          <w:p>
            <w:pPr>
              <w:spacing w:after="0" w:before="0"/>
              <w:jc w:val="center"/>
            </w:pPr>
            <w:r/>
            <w:r>
              <w:rPr>
                <w:rFonts w:ascii="Calibri" w:hAnsi="Calibri"/>
                <w:b w:val="0"/>
                <w:sz w:val="17"/>
              </w:rPr>
              <w:t>I</w:t>
            </w:r>
          </w:p>
        </w:tc>
      </w:tr>
    </w:tbl>
    <w:p>
      <w:pPr>
        <w:spacing w:before="40" w:after="180"/>
        <w:jc w:val="center"/>
      </w:pPr>
      <w:r>
        <w:rPr>
          <w:i/>
          <w:color w:val="7F7F7F"/>
          <w:sz w:val="18"/>
        </w:rPr>
        <w:t>Matrice RACI des activités du projet.</w:t>
      </w:r>
    </w:p>
    <w:p>
      <w:pPr>
        <w:spacing w:after="140" w:before="0"/>
        <w:jc w:val="both"/>
      </w:pPr>
      <w:r>
        <w:rPr>
          <w:b w:val="0"/>
          <w:i/>
          <w:color w:val="7F7F7F"/>
          <w:sz w:val="19"/>
        </w:rPr>
        <w:t>Légende : R = Réalise · A = Responsable (rend des comptes) · C = Consulté · I = Informé.</w:t>
      </w:r>
    </w:p>
    <w:p>
      <w:pPr>
        <w:spacing w:after="140" w:before="0"/>
        <w:jc w:val="both"/>
      </w:pPr>
      <w:r>
        <w:rPr>
          <w:b w:val="0"/>
          <w:i w:val="0"/>
          <w:sz w:val="22"/>
        </w:rPr>
        <w:t>Lecture : le chef de projet est responsable de l’enchaînement opérationnel (du permis aux essais) ; le maître d’ouvrage reste responsable de la validation de la conception et de la réception, qui engagent le contrat. Le bureau de contrôle et le coordinateur SPS sont systématiquement consultés sur les phases travaux.</w:t>
      </w:r>
    </w:p>
    <w:p>
      <w:r>
        <w:br w:type="page"/>
      </w:r>
    </w:p>
    <w:p>
      <w:pPr>
        <w:pStyle w:val="Heading1"/>
      </w:pPr>
      <w:r>
        <w:t>Question 5 — Analyse des risques</w:t>
      </w:r>
    </w:p>
    <w:p>
      <w:pPr>
        <w:spacing w:after="140" w:before="0"/>
        <w:jc w:val="both"/>
      </w:pPr>
      <w:r>
        <w:rPr>
          <w:b w:val="0"/>
          <w:i w:val="0"/>
          <w:sz w:val="22"/>
        </w:rPr>
        <w:t>Le registre ci-dessous recense douze risques couvrant les coûts, les délais, la qualité, la sécurité, l’environnement, le réglementaire, les ressources humaines, les sous-traitants et les approvisionnements. La probabilité (P) et l’impact (I) sont notés de 1 à 4 ; la criticité est leur produit (P × I).</w:t>
      </w:r>
    </w:p>
    <w:tbl>
      <w:tblPr>
        <w:tblStyle w:val="TableGrid"/>
        <w:tblW w:type="auto" w:w="0"/>
        <w:jc w:val="center"/>
        <w:tblLayout w:type="fixed"/>
        <w:tblLook w:firstColumn="1" w:firstRow="1" w:lastColumn="0" w:lastRow="0" w:noHBand="0" w:noVBand="1" w:val="04A0"/>
      </w:tblPr>
      <w:tblGrid>
        <w:gridCol w:w="1624"/>
        <w:gridCol w:w="1624"/>
        <w:gridCol w:w="1624"/>
        <w:gridCol w:w="1624"/>
        <w:gridCol w:w="1624"/>
        <w:gridCol w:w="1624"/>
      </w:tblGrid>
      <w:tr>
        <w:trPr>
          <w:tblHeader w:val="true"/>
        </w:trPr>
        <w:tc>
          <w:tcPr>
            <w:tcW w:type="dxa" w:w="510"/>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w:t>
            </w:r>
          </w:p>
        </w:tc>
        <w:tc>
          <w:tcPr>
            <w:tcW w:type="dxa" w:w="3005"/>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Risque</w:t>
            </w:r>
          </w:p>
        </w:tc>
        <w:tc>
          <w:tcPr>
            <w:tcW w:type="dxa" w:w="454"/>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P</w:t>
            </w:r>
          </w:p>
        </w:tc>
        <w:tc>
          <w:tcPr>
            <w:tcW w:type="dxa" w:w="454"/>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I</w:t>
            </w:r>
          </w:p>
        </w:tc>
        <w:tc>
          <w:tcPr>
            <w:tcW w:type="dxa" w:w="624"/>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Crit.</w:t>
            </w:r>
          </w:p>
        </w:tc>
        <w:tc>
          <w:tcPr>
            <w:tcW w:type="dxa" w:w="4309"/>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7"/>
              </w:rPr>
              <w:t>Action de traitement</w:t>
            </w:r>
          </w:p>
        </w:tc>
      </w:tr>
      <w:tr>
        <w:tc>
          <w:tcPr>
            <w:tcW w:type="dxa" w:w="510"/>
            <w:vAlign w:val="center"/>
            <w:tcMar>
              <w:top w:w="30" w:type="dxa"/>
              <w:bottom w:w="30" w:type="dxa"/>
              <w:start w:w="80" w:type="dxa"/>
              <w:end w:w="80" w:type="dxa"/>
            </w:tcMar>
            <w:shd w:val="clear" w:color="auto" w:fill="F4827B"/>
          </w:tcPr>
          <w:p>
            <w:pPr>
              <w:spacing w:after="0" w:before="0"/>
              <w:jc w:val="center"/>
            </w:pPr>
            <w:r/>
            <w:r>
              <w:rPr>
                <w:rFonts w:ascii="Calibri" w:hAnsi="Calibri"/>
                <w:b w:val="0"/>
                <w:sz w:val="17"/>
              </w:rPr>
              <w:t>R1</w:t>
            </w:r>
          </w:p>
        </w:tc>
        <w:tc>
          <w:tcPr>
            <w:tcW w:type="dxa" w:w="3005"/>
            <w:vAlign w:val="center"/>
            <w:tcMar>
              <w:top w:w="30" w:type="dxa"/>
              <w:bottom w:w="30" w:type="dxa"/>
              <w:start w:w="80" w:type="dxa"/>
              <w:end w:w="80" w:type="dxa"/>
            </w:tcMar>
            <w:shd w:val="clear" w:color="auto" w:fill="F4827B"/>
          </w:tcPr>
          <w:p>
            <w:pPr>
              <w:spacing w:after="0" w:before="0"/>
              <w:jc w:val="left"/>
            </w:pPr>
            <w:r/>
            <w:r>
              <w:rPr>
                <w:rFonts w:ascii="Calibri" w:hAnsi="Calibri"/>
                <w:b w:val="0"/>
                <w:sz w:val="17"/>
              </w:rPr>
              <w:t>Dépassement du délai de 18 mois (chemin critique à 21 mois)</w:t>
            </w:r>
          </w:p>
        </w:tc>
        <w:tc>
          <w:tcPr>
            <w:tcW w:type="dxa" w:w="454"/>
            <w:vAlign w:val="center"/>
            <w:tcMar>
              <w:top w:w="30" w:type="dxa"/>
              <w:bottom w:w="30" w:type="dxa"/>
              <w:start w:w="80" w:type="dxa"/>
              <w:end w:w="80" w:type="dxa"/>
            </w:tcMar>
            <w:shd w:val="clear" w:color="auto" w:fill="F4827B"/>
          </w:tcPr>
          <w:p>
            <w:pPr>
              <w:spacing w:after="0" w:before="0"/>
              <w:jc w:val="center"/>
            </w:pPr>
            <w:r/>
            <w:r>
              <w:rPr>
                <w:rFonts w:ascii="Calibri" w:hAnsi="Calibri"/>
                <w:b w:val="0"/>
                <w:sz w:val="17"/>
              </w:rPr>
              <w:t>4</w:t>
            </w:r>
          </w:p>
        </w:tc>
        <w:tc>
          <w:tcPr>
            <w:tcW w:type="dxa" w:w="454"/>
            <w:vAlign w:val="center"/>
            <w:tcMar>
              <w:top w:w="30" w:type="dxa"/>
              <w:bottom w:w="30" w:type="dxa"/>
              <w:start w:w="80" w:type="dxa"/>
              <w:end w:w="80" w:type="dxa"/>
            </w:tcMar>
            <w:shd w:val="clear" w:color="auto" w:fill="F4827B"/>
          </w:tcPr>
          <w:p>
            <w:pPr>
              <w:spacing w:after="0" w:before="0"/>
              <w:jc w:val="center"/>
            </w:pPr>
            <w:r/>
            <w:r>
              <w:rPr>
                <w:rFonts w:ascii="Calibri" w:hAnsi="Calibri"/>
                <w:b w:val="0"/>
                <w:sz w:val="17"/>
              </w:rPr>
              <w:t>4</w:t>
            </w:r>
          </w:p>
        </w:tc>
        <w:tc>
          <w:tcPr>
            <w:tcW w:type="dxa" w:w="624"/>
            <w:vAlign w:val="center"/>
            <w:tcMar>
              <w:top w:w="30" w:type="dxa"/>
              <w:bottom w:w="30" w:type="dxa"/>
              <w:start w:w="80" w:type="dxa"/>
              <w:end w:w="80" w:type="dxa"/>
            </w:tcMar>
            <w:shd w:val="clear" w:color="auto" w:fill="F4827B"/>
          </w:tcPr>
          <w:p>
            <w:pPr>
              <w:spacing w:after="0" w:before="0"/>
              <w:jc w:val="center"/>
            </w:pPr>
            <w:r/>
            <w:r>
              <w:rPr>
                <w:rFonts w:ascii="Calibri" w:hAnsi="Calibri"/>
                <w:b w:val="0"/>
                <w:sz w:val="17"/>
              </w:rPr>
              <w:t>16</w:t>
            </w:r>
          </w:p>
        </w:tc>
        <w:tc>
          <w:tcPr>
            <w:tcW w:type="dxa" w:w="4309"/>
            <w:vAlign w:val="center"/>
            <w:tcMar>
              <w:top w:w="30" w:type="dxa"/>
              <w:bottom w:w="30" w:type="dxa"/>
              <w:start w:w="80" w:type="dxa"/>
              <w:end w:w="80" w:type="dxa"/>
            </w:tcMar>
            <w:shd w:val="clear" w:color="auto" w:fill="F4827B"/>
          </w:tcPr>
          <w:p>
            <w:pPr>
              <w:spacing w:after="0" w:before="0"/>
              <w:jc w:val="left"/>
            </w:pPr>
            <w:r/>
            <w:r>
              <w:rPr>
                <w:rFonts w:ascii="Calibri" w:hAnsi="Calibri"/>
                <w:b w:val="0"/>
                <w:sz w:val="17"/>
              </w:rPr>
              <w:t>Comprimer le chemin critique, anticiper permis et appros, préfabrication, pilotage serré</w:t>
            </w:r>
          </w:p>
        </w:tc>
      </w:tr>
      <w:tr>
        <w:tc>
          <w:tcPr>
            <w:tcW w:type="dxa" w:w="510"/>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R2</w:t>
            </w:r>
          </w:p>
        </w:tc>
        <w:tc>
          <w:tcPr>
            <w:tcW w:type="dxa" w:w="3005"/>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Hausse du coût des matériaux</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4</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3</w:t>
            </w:r>
          </w:p>
        </w:tc>
        <w:tc>
          <w:tcPr>
            <w:tcW w:type="dxa" w:w="62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12</w:t>
            </w:r>
          </w:p>
        </w:tc>
        <w:tc>
          <w:tcPr>
            <w:tcW w:type="dxa" w:w="4309"/>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Clauses de révision de prix, achats anticipés, marchés à prix ferme</w:t>
            </w:r>
          </w:p>
        </w:tc>
      </w:tr>
      <w:tr>
        <w:tc>
          <w:tcPr>
            <w:tcW w:type="dxa" w:w="510"/>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R4</w:t>
            </w:r>
          </w:p>
        </w:tc>
        <w:tc>
          <w:tcPr>
            <w:tcW w:type="dxa" w:w="3005"/>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Délais d’approvisionnement (PV, CVC, bornes IRVE)</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3</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4</w:t>
            </w:r>
          </w:p>
        </w:tc>
        <w:tc>
          <w:tcPr>
            <w:tcW w:type="dxa" w:w="62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12</w:t>
            </w:r>
          </w:p>
        </w:tc>
        <w:tc>
          <w:tcPr>
            <w:tcW w:type="dxa" w:w="4309"/>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Commandes anticipées, fournisseurs alternatifs, stock tampon</w:t>
            </w:r>
          </w:p>
        </w:tc>
      </w:tr>
      <w:tr>
        <w:tc>
          <w:tcPr>
            <w:tcW w:type="dxa" w:w="510"/>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R3</w:t>
            </w:r>
          </w:p>
        </w:tc>
        <w:tc>
          <w:tcPr>
            <w:tcW w:type="dxa" w:w="3005"/>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Pénurie de main-d’œuvre qualifiée</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3</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3</w:t>
            </w:r>
          </w:p>
        </w:tc>
        <w:tc>
          <w:tcPr>
            <w:tcW w:type="dxa" w:w="62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9</w:t>
            </w:r>
          </w:p>
        </w:tc>
        <w:tc>
          <w:tcPr>
            <w:tcW w:type="dxa" w:w="4309"/>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Sécuriser les contrats de sous-traitance, planifier les ressources</w:t>
            </w:r>
          </w:p>
        </w:tc>
      </w:tr>
      <w:tr>
        <w:tc>
          <w:tcPr>
            <w:tcW w:type="dxa" w:w="510"/>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R6</w:t>
            </w:r>
          </w:p>
        </w:tc>
        <w:tc>
          <w:tcPr>
            <w:tcW w:type="dxa" w:w="3005"/>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Nuisances et recours des riverains</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3</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3</w:t>
            </w:r>
          </w:p>
        </w:tc>
        <w:tc>
          <w:tcPr>
            <w:tcW w:type="dxa" w:w="62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9</w:t>
            </w:r>
          </w:p>
        </w:tc>
        <w:tc>
          <w:tcPr>
            <w:tcW w:type="dxa" w:w="4309"/>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Concertation, charte chantier propre, horaires encadrés, communication</w:t>
            </w:r>
          </w:p>
        </w:tc>
      </w:tr>
      <w:tr>
        <w:tc>
          <w:tcPr>
            <w:tcW w:type="dxa" w:w="510"/>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R9</w:t>
            </w:r>
          </w:p>
        </w:tc>
        <w:tc>
          <w:tcPr>
            <w:tcW w:type="dxa" w:w="3005"/>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Défaillance d’un sous-traitant</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3</w:t>
            </w:r>
          </w:p>
        </w:tc>
        <w:tc>
          <w:tcPr>
            <w:tcW w:type="dxa" w:w="45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3</w:t>
            </w:r>
          </w:p>
        </w:tc>
        <w:tc>
          <w:tcPr>
            <w:tcW w:type="dxa" w:w="624"/>
            <w:vAlign w:val="center"/>
            <w:tcMar>
              <w:top w:w="30" w:type="dxa"/>
              <w:bottom w:w="30" w:type="dxa"/>
              <w:start w:w="80" w:type="dxa"/>
              <w:end w:w="80" w:type="dxa"/>
            </w:tcMar>
            <w:shd w:val="clear" w:color="auto" w:fill="F8CBAD"/>
          </w:tcPr>
          <w:p>
            <w:pPr>
              <w:spacing w:after="0" w:before="0"/>
              <w:jc w:val="center"/>
            </w:pPr>
            <w:r/>
            <w:r>
              <w:rPr>
                <w:rFonts w:ascii="Calibri" w:hAnsi="Calibri"/>
                <w:b w:val="0"/>
                <w:sz w:val="17"/>
              </w:rPr>
              <w:t>9</w:t>
            </w:r>
          </w:p>
        </w:tc>
        <w:tc>
          <w:tcPr>
            <w:tcW w:type="dxa" w:w="4309"/>
            <w:vAlign w:val="center"/>
            <w:tcMar>
              <w:top w:w="30" w:type="dxa"/>
              <w:bottom w:w="30" w:type="dxa"/>
              <w:start w:w="80" w:type="dxa"/>
              <w:end w:w="80" w:type="dxa"/>
            </w:tcMar>
            <w:shd w:val="clear" w:color="auto" w:fill="F8CBAD"/>
          </w:tcPr>
          <w:p>
            <w:pPr>
              <w:spacing w:after="0" w:before="0"/>
              <w:jc w:val="left"/>
            </w:pPr>
            <w:r/>
            <w:r>
              <w:rPr>
                <w:rFonts w:ascii="Calibri" w:hAnsi="Calibri"/>
                <w:b w:val="0"/>
                <w:sz w:val="17"/>
              </w:rPr>
              <w:t>Sélection rigoureuse, cautions, clauses contractuelles, suivi rapproché</w:t>
            </w:r>
          </w:p>
        </w:tc>
      </w:tr>
      <w:tr>
        <w:tc>
          <w:tcPr>
            <w:tcW w:type="dxa" w:w="510"/>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R5</w:t>
            </w:r>
          </w:p>
        </w:tc>
        <w:tc>
          <w:tcPr>
            <w:tcW w:type="dxa" w:w="3005"/>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Refus ou retard du permis de construire</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2</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4</w:t>
            </w:r>
          </w:p>
        </w:tc>
        <w:tc>
          <w:tcPr>
            <w:tcW w:type="dxa" w:w="62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8</w:t>
            </w:r>
          </w:p>
        </w:tc>
        <w:tc>
          <w:tcPr>
            <w:tcW w:type="dxa" w:w="4309"/>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Dossier solide, pré-consultation mairie/ABF, marge de sécurité</w:t>
            </w:r>
          </w:p>
        </w:tc>
      </w:tr>
      <w:tr>
        <w:tc>
          <w:tcPr>
            <w:tcW w:type="dxa" w:w="510"/>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R7</w:t>
            </w:r>
          </w:p>
        </w:tc>
        <w:tc>
          <w:tcPr>
            <w:tcW w:type="dxa" w:w="3005"/>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Non-obtention HQE / non-conformité RE2020</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2</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4</w:t>
            </w:r>
          </w:p>
        </w:tc>
        <w:tc>
          <w:tcPr>
            <w:tcW w:type="dxa" w:w="62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8</w:t>
            </w:r>
          </w:p>
        </w:tc>
        <w:tc>
          <w:tcPr>
            <w:tcW w:type="dxa" w:w="4309"/>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AMO HQE, BET thermique, contrôles dès la phase études</w:t>
            </w:r>
          </w:p>
        </w:tc>
      </w:tr>
      <w:tr>
        <w:tc>
          <w:tcPr>
            <w:tcW w:type="dxa" w:w="510"/>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R8</w:t>
            </w:r>
          </w:p>
        </w:tc>
        <w:tc>
          <w:tcPr>
            <w:tcW w:type="dxa" w:w="3005"/>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Accident grave sur le chantier</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2</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4</w:t>
            </w:r>
          </w:p>
        </w:tc>
        <w:tc>
          <w:tcPr>
            <w:tcW w:type="dxa" w:w="62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8</w:t>
            </w:r>
          </w:p>
        </w:tc>
        <w:tc>
          <w:tcPr>
            <w:tcW w:type="dxa" w:w="4309"/>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Plan SPS strict, formations, contrôles et présence SPS</w:t>
            </w:r>
          </w:p>
        </w:tc>
      </w:tr>
      <w:tr>
        <w:tc>
          <w:tcPr>
            <w:tcW w:type="dxa" w:w="510"/>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R10</w:t>
            </w:r>
          </w:p>
        </w:tc>
        <w:tc>
          <w:tcPr>
            <w:tcW w:type="dxa" w:w="3005"/>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Intempéries retardant le gros œuvre</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3</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2</w:t>
            </w:r>
          </w:p>
        </w:tc>
        <w:tc>
          <w:tcPr>
            <w:tcW w:type="dxa" w:w="62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6</w:t>
            </w:r>
          </w:p>
        </w:tc>
        <w:tc>
          <w:tcPr>
            <w:tcW w:type="dxa" w:w="4309"/>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Planning saisonnier, intempéries provisionnées au planning</w:t>
            </w:r>
          </w:p>
        </w:tc>
      </w:tr>
      <w:tr>
        <w:tc>
          <w:tcPr>
            <w:tcW w:type="dxa" w:w="510"/>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R11</w:t>
            </w:r>
          </w:p>
        </w:tc>
        <w:tc>
          <w:tcPr>
            <w:tcW w:type="dxa" w:w="3005"/>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Taux de réserves &gt; 2 % à la réception</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2</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3</w:t>
            </w:r>
          </w:p>
        </w:tc>
        <w:tc>
          <w:tcPr>
            <w:tcW w:type="dxa" w:w="62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6</w:t>
            </w:r>
          </w:p>
        </w:tc>
        <w:tc>
          <w:tcPr>
            <w:tcW w:type="dxa" w:w="4309"/>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Contrôles intermédiaires, opérations préalables à la réception anticipées</w:t>
            </w:r>
          </w:p>
        </w:tc>
      </w:tr>
      <w:tr>
        <w:tc>
          <w:tcPr>
            <w:tcW w:type="dxa" w:w="510"/>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R12</w:t>
            </w:r>
          </w:p>
        </w:tc>
        <w:tc>
          <w:tcPr>
            <w:tcW w:type="dxa" w:w="3005"/>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Mauvaise gestion des déchets (loi AGEC)</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2</w:t>
            </w:r>
          </w:p>
        </w:tc>
        <w:tc>
          <w:tcPr>
            <w:tcW w:type="dxa" w:w="45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3</w:t>
            </w:r>
          </w:p>
        </w:tc>
        <w:tc>
          <w:tcPr>
            <w:tcW w:type="dxa" w:w="624"/>
            <w:vAlign w:val="center"/>
            <w:tcMar>
              <w:top w:w="30" w:type="dxa"/>
              <w:bottom w:w="30" w:type="dxa"/>
              <w:start w:w="80" w:type="dxa"/>
              <w:end w:w="80" w:type="dxa"/>
            </w:tcMar>
            <w:shd w:val="clear" w:color="auto" w:fill="FFE699"/>
          </w:tcPr>
          <w:p>
            <w:pPr>
              <w:spacing w:after="0" w:before="0"/>
              <w:jc w:val="center"/>
            </w:pPr>
            <w:r/>
            <w:r>
              <w:rPr>
                <w:rFonts w:ascii="Calibri" w:hAnsi="Calibri"/>
                <w:b w:val="0"/>
                <w:sz w:val="17"/>
              </w:rPr>
              <w:t>6</w:t>
            </w:r>
          </w:p>
        </w:tc>
        <w:tc>
          <w:tcPr>
            <w:tcW w:type="dxa" w:w="4309"/>
            <w:vAlign w:val="center"/>
            <w:tcMar>
              <w:top w:w="30" w:type="dxa"/>
              <w:bottom w:w="30" w:type="dxa"/>
              <w:start w:w="80" w:type="dxa"/>
              <w:end w:w="80" w:type="dxa"/>
            </w:tcMar>
            <w:shd w:val="clear" w:color="auto" w:fill="FFE699"/>
          </w:tcPr>
          <w:p>
            <w:pPr>
              <w:spacing w:after="0" w:before="0"/>
              <w:jc w:val="left"/>
            </w:pPr>
            <w:r/>
            <w:r>
              <w:rPr>
                <w:rFonts w:ascii="Calibri" w:hAnsi="Calibri"/>
                <w:b w:val="0"/>
                <w:sz w:val="17"/>
              </w:rPr>
              <w:t>SOGED, tri sur site, valorisation et traçabilité des déchets</w:t>
            </w:r>
          </w:p>
        </w:tc>
      </w:tr>
    </w:tbl>
    <w:p>
      <w:pPr>
        <w:spacing w:before="40" w:after="180"/>
        <w:jc w:val="center"/>
      </w:pPr>
      <w:r>
        <w:rPr>
          <w:i/>
          <w:color w:val="7F7F7F"/>
          <w:sz w:val="18"/>
        </w:rPr>
        <w:t>Registre des risques (criticité colorée : vert faible, jaune modérée, orange élevée, rouge majeure).</w:t>
      </w:r>
    </w:p>
    <w:p>
      <w:pPr>
        <w:spacing w:before="80" w:after="40"/>
        <w:jc w:val="center"/>
      </w:pPr>
      <w:r>
        <w:drawing>
          <wp:inline xmlns:a="http://schemas.openxmlformats.org/drawingml/2006/main" xmlns:pic="http://schemas.openxmlformats.org/drawingml/2006/picture">
            <wp:extent cx="4500000" cy="4128280"/>
            <wp:docPr id="3" name="Picture 3"/>
            <wp:cNvGraphicFramePr>
              <a:graphicFrameLocks noChangeAspect="1"/>
            </wp:cNvGraphicFramePr>
            <a:graphic>
              <a:graphicData uri="http://schemas.openxmlformats.org/drawingml/2006/picture">
                <pic:pic>
                  <pic:nvPicPr>
                    <pic:cNvPr id="0" name="risques.png"/>
                    <pic:cNvPicPr/>
                  </pic:nvPicPr>
                  <pic:blipFill>
                    <a:blip r:embed="rId11"/>
                    <a:stretch>
                      <a:fillRect/>
                    </a:stretch>
                  </pic:blipFill>
                  <pic:spPr>
                    <a:xfrm>
                      <a:off x="0" y="0"/>
                      <a:ext cx="4500000" cy="4128280"/>
                    </a:xfrm>
                    <a:prstGeom prst="rect"/>
                  </pic:spPr>
                </pic:pic>
              </a:graphicData>
            </a:graphic>
          </wp:inline>
        </w:drawing>
      </w:r>
    </w:p>
    <w:p>
      <w:pPr>
        <w:spacing w:before="40" w:after="180"/>
        <w:jc w:val="center"/>
      </w:pPr>
      <w:r>
        <w:rPr>
          <w:i/>
          <w:color w:val="7F7F7F"/>
          <w:sz w:val="18"/>
        </w:rPr>
        <w:t>Matrice des risques (P × I).</w:t>
      </w:r>
    </w:p>
    <w:tbl>
      <w:tblPr>
        <w:tblW w:type="auto" w:w="0"/>
        <w:jc w:val="center"/>
        <w:tblLook w:firstColumn="1" w:firstRow="1" w:lastColumn="0" w:lastRow="0" w:noHBand="0" w:noVBand="1" w:val="04A0"/>
      </w:tblPr>
      <w:tblGrid>
        <w:gridCol w:w="9746"/>
      </w:tblGrid>
      <w:tr>
        <w:tc>
          <w:tcPr>
            <w:tcW w:type="dxa" w:w="9411"/>
            <w:shd w:val="clear" w:color="auto" w:fill="EAF1F8"/>
            <w:tcMar>
              <w:top w:w="110" w:type="dxa"/>
              <w:bottom w:w="110" w:type="dxa"/>
              <w:start w:w="180" w:type="dxa"/>
              <w:end w:w="180" w:type="dxa"/>
            </w:tcMar>
            <w:tcBorders>
              <w:top w:val="single" w:sz="18" w:color="2E6BA8"/>
              <w:bottom w:val="single" w:sz="18" w:color="2E6BA8"/>
              <w:start w:val="single" w:sz="18" w:color="2E6BA8"/>
              <w:end w:val="single" w:sz="18" w:color="2E6BA8"/>
            </w:tcBorders>
          </w:tcPr>
          <w:p>
            <w:pPr>
              <w:spacing w:after="60"/>
            </w:pPr>
            <w:r>
              <w:rPr>
                <w:b/>
                <w:color w:val="1F4E79"/>
                <w:sz w:val="22"/>
              </w:rPr>
              <w:t>Les trois risques majeurs</w:t>
            </w:r>
          </w:p>
          <w:p>
            <w:pPr>
              <w:spacing w:after="40"/>
            </w:pPr>
            <w:r>
              <w:rPr>
                <w:color w:val="404040"/>
                <w:sz w:val="21"/>
              </w:rPr>
              <w:t>1. Le dépassement du délai (R1) — le planning prévisionnel est à 21 mois pour un objectif de 18.</w:t>
            </w:r>
          </w:p>
          <w:p>
            <w:pPr>
              <w:spacing w:after="40"/>
            </w:pPr>
            <w:r>
              <w:rPr>
                <w:color w:val="404040"/>
                <w:sz w:val="21"/>
              </w:rPr>
              <w:t>2. La hausse du coût des matériaux (R2) — elle menace directement le budget de 9 M€.</w:t>
            </w:r>
          </w:p>
          <w:p>
            <w:pPr>
              <w:spacing w:after="40"/>
            </w:pPr>
            <w:r>
              <w:rPr>
                <w:color w:val="404040"/>
                <w:sz w:val="21"/>
              </w:rPr>
              <w:t>3. Les délais d’approvisionnement des équipements techniques (R4) — sur des lots à long délai (photovoltaïque, CVC, bornes).</w:t>
            </w:r>
          </w:p>
        </w:tc>
      </w:tr>
    </w:tbl>
    <w:p>
      <w:pPr>
        <w:spacing w:after="40"/>
      </w:pPr>
    </w:p>
    <w:p>
      <w:r>
        <w:br w:type="page"/>
      </w:r>
    </w:p>
    <w:p>
      <w:pPr>
        <w:pStyle w:val="Heading1"/>
      </w:pPr>
      <w:r>
        <w:t>Question 6 — Analyse réglementaire et normative</w:t>
      </w:r>
    </w:p>
    <w:p>
      <w:pPr>
        <w:spacing w:after="140" w:before="0"/>
        <w:jc w:val="both"/>
      </w:pPr>
      <w:r>
        <w:rPr>
          <w:b w:val="0"/>
          <w:i w:val="0"/>
          <w:sz w:val="22"/>
        </w:rPr>
        <w:t>Le projet est soumis à un ensemble d’exigences réglementaires et normatives qu’il faut intégrer dès la conception. Un point mérite d’être souligné : avec une salle de conférence de 200 places et un restaurant d’entreprise, le bâtiment relève de la réglementation des établissements recevant du public (ERP), ce qui renforce les exigences en matière de sécurité incendie et d’accessibilité.</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757"/>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8"/>
              </w:rPr>
              <w:t>Domaine</w:t>
            </w:r>
          </w:p>
        </w:tc>
        <w:tc>
          <w:tcPr>
            <w:tcW w:type="dxa" w:w="3118"/>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8"/>
              </w:rPr>
              <w:t>Textes et référentiels</w:t>
            </w:r>
          </w:p>
        </w:tc>
        <w:tc>
          <w:tcPr>
            <w:tcW w:type="dxa" w:w="4479"/>
            <w:vAlign w:val="center"/>
            <w:shd w:val="clear" w:color="auto" w:fill="1F4E79"/>
            <w:tcMar>
              <w:top w:w="30" w:type="dxa"/>
              <w:bottom w:w="30" w:type="dxa"/>
              <w:start w:w="80" w:type="dxa"/>
              <w:end w:w="80" w:type="dxa"/>
            </w:tcMar>
          </w:tcPr>
          <w:p>
            <w:pPr>
              <w:spacing w:after="0" w:before="0"/>
              <w:jc w:val="center"/>
            </w:pPr>
            <w:r/>
            <w:r>
              <w:rPr>
                <w:rFonts w:ascii="Calibri" w:hAnsi="Calibri"/>
                <w:b/>
                <w:color w:val="FFFFFF"/>
                <w:sz w:val="18"/>
              </w:rPr>
              <w:t>Application au projet</w:t>
            </w:r>
          </w:p>
        </w:tc>
      </w:tr>
      <w:tr>
        <w:tc>
          <w:tcPr>
            <w:tcW w:type="dxa" w:w="1757"/>
            <w:vAlign w:val="center"/>
            <w:tcMar>
              <w:top w:w="30" w:type="dxa"/>
              <w:bottom w:w="30" w:type="dxa"/>
              <w:start w:w="80" w:type="dxa"/>
              <w:end w:w="80" w:type="dxa"/>
            </w:tcMar>
          </w:tcPr>
          <w:p>
            <w:pPr>
              <w:spacing w:after="0" w:before="0"/>
              <w:jc w:val="left"/>
            </w:pPr>
            <w:r/>
            <w:r>
              <w:rPr>
                <w:rFonts w:ascii="Calibri" w:hAnsi="Calibri"/>
                <w:b w:val="0"/>
                <w:sz w:val="18"/>
              </w:rPr>
              <w:t>Urbanisme</w:t>
            </w:r>
          </w:p>
        </w:tc>
        <w:tc>
          <w:tcPr>
            <w:tcW w:type="dxa" w:w="3118"/>
            <w:vAlign w:val="center"/>
            <w:tcMar>
              <w:top w:w="30" w:type="dxa"/>
              <w:bottom w:w="30" w:type="dxa"/>
              <w:start w:w="80" w:type="dxa"/>
              <w:end w:w="80" w:type="dxa"/>
            </w:tcMar>
          </w:tcPr>
          <w:p>
            <w:pPr>
              <w:spacing w:after="0" w:before="0"/>
              <w:jc w:val="left"/>
            </w:pPr>
            <w:r/>
            <w:r>
              <w:rPr>
                <w:rFonts w:ascii="Calibri" w:hAnsi="Calibri"/>
                <w:b w:val="0"/>
                <w:sz w:val="18"/>
              </w:rPr>
              <w:t>Code de l’urbanisme, PLU, permis de construire</w:t>
            </w:r>
          </w:p>
        </w:tc>
        <w:tc>
          <w:tcPr>
            <w:tcW w:type="dxa" w:w="4479"/>
            <w:vAlign w:val="center"/>
            <w:tcMar>
              <w:top w:w="30" w:type="dxa"/>
              <w:bottom w:w="30" w:type="dxa"/>
              <w:start w:w="80" w:type="dxa"/>
              <w:end w:w="80" w:type="dxa"/>
            </w:tcMar>
          </w:tcPr>
          <w:p>
            <w:pPr>
              <w:spacing w:after="0" w:before="0"/>
              <w:jc w:val="left"/>
            </w:pPr>
            <w:r/>
            <w:r>
              <w:rPr>
                <w:rFonts w:ascii="Calibri" w:hAnsi="Calibri"/>
                <w:b w:val="0"/>
                <w:sz w:val="18"/>
              </w:rPr>
              <w:t>Implantation, hauteurs, stationnement, dépôt et instruction en mairie</w:t>
            </w:r>
          </w:p>
        </w:tc>
      </w:tr>
      <w:tr>
        <w:tc>
          <w:tcPr>
            <w:tcW w:type="dxa" w:w="1757"/>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Construction</w:t>
            </w:r>
          </w:p>
        </w:tc>
        <w:tc>
          <w:tcPr>
            <w:tcW w:type="dxa" w:w="3118"/>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RE2020, Eurocodes, DTU</w:t>
            </w:r>
          </w:p>
        </w:tc>
        <w:tc>
          <w:tcPr>
            <w:tcW w:type="dxa" w:w="4479"/>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Performance énergétique et carbone, dimensionnement de la structure, règles de l’art</w:t>
            </w:r>
          </w:p>
        </w:tc>
      </w:tr>
      <w:tr>
        <w:tc>
          <w:tcPr>
            <w:tcW w:type="dxa" w:w="1757"/>
            <w:vAlign w:val="center"/>
            <w:tcMar>
              <w:top w:w="30" w:type="dxa"/>
              <w:bottom w:w="30" w:type="dxa"/>
              <w:start w:w="80" w:type="dxa"/>
              <w:end w:w="80" w:type="dxa"/>
            </w:tcMar>
          </w:tcPr>
          <w:p>
            <w:pPr>
              <w:spacing w:after="0" w:before="0"/>
              <w:jc w:val="left"/>
            </w:pPr>
            <w:r/>
            <w:r>
              <w:rPr>
                <w:rFonts w:ascii="Calibri" w:hAnsi="Calibri"/>
                <w:b w:val="0"/>
                <w:sz w:val="18"/>
              </w:rPr>
              <w:t>Sécurité</w:t>
            </w:r>
          </w:p>
        </w:tc>
        <w:tc>
          <w:tcPr>
            <w:tcW w:type="dxa" w:w="3118"/>
            <w:vAlign w:val="center"/>
            <w:tcMar>
              <w:top w:w="30" w:type="dxa"/>
              <w:bottom w:w="30" w:type="dxa"/>
              <w:start w:w="80" w:type="dxa"/>
              <w:end w:w="80" w:type="dxa"/>
            </w:tcMar>
          </w:tcPr>
          <w:p>
            <w:pPr>
              <w:spacing w:after="0" w:before="0"/>
              <w:jc w:val="left"/>
            </w:pPr>
            <w:r/>
            <w:r>
              <w:rPr>
                <w:rFonts w:ascii="Calibri" w:hAnsi="Calibri"/>
                <w:b w:val="0"/>
                <w:sz w:val="18"/>
              </w:rPr>
              <w:t>Code du travail, coordination SPS, PGC/PPSPS</w:t>
            </w:r>
          </w:p>
        </w:tc>
        <w:tc>
          <w:tcPr>
            <w:tcW w:type="dxa" w:w="4479"/>
            <w:vAlign w:val="center"/>
            <w:tcMar>
              <w:top w:w="30" w:type="dxa"/>
              <w:bottom w:w="30" w:type="dxa"/>
              <w:start w:w="80" w:type="dxa"/>
              <w:end w:w="80" w:type="dxa"/>
            </w:tcMar>
          </w:tcPr>
          <w:p>
            <w:pPr>
              <w:spacing w:after="0" w:before="0"/>
              <w:jc w:val="left"/>
            </w:pPr>
            <w:r/>
            <w:r>
              <w:rPr>
                <w:rFonts w:ascii="Calibri" w:hAnsi="Calibri"/>
                <w:b w:val="0"/>
                <w:sz w:val="18"/>
              </w:rPr>
              <w:t>Prévention des risques, plan SPS, objectif zéro accident grave</w:t>
            </w:r>
          </w:p>
        </w:tc>
      </w:tr>
      <w:tr>
        <w:tc>
          <w:tcPr>
            <w:tcW w:type="dxa" w:w="1757"/>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Accessibilité</w:t>
            </w:r>
          </w:p>
        </w:tc>
        <w:tc>
          <w:tcPr>
            <w:tcW w:type="dxa" w:w="3118"/>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Réglementation PMR, obligations ERP</w:t>
            </w:r>
          </w:p>
        </w:tc>
        <w:tc>
          <w:tcPr>
            <w:tcW w:type="dxa" w:w="4479"/>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Accès et circulations adaptés ; salle de conférence et restaurant = ERP</w:t>
            </w:r>
          </w:p>
        </w:tc>
      </w:tr>
      <w:tr>
        <w:tc>
          <w:tcPr>
            <w:tcW w:type="dxa" w:w="1757"/>
            <w:vAlign w:val="center"/>
            <w:tcMar>
              <w:top w:w="30" w:type="dxa"/>
              <w:bottom w:w="30" w:type="dxa"/>
              <w:start w:w="80" w:type="dxa"/>
              <w:end w:w="80" w:type="dxa"/>
            </w:tcMar>
          </w:tcPr>
          <w:p>
            <w:pPr>
              <w:spacing w:after="0" w:before="0"/>
              <w:jc w:val="left"/>
            </w:pPr>
            <w:r/>
            <w:r>
              <w:rPr>
                <w:rFonts w:ascii="Calibri" w:hAnsi="Calibri"/>
                <w:b w:val="0"/>
                <w:sz w:val="18"/>
              </w:rPr>
              <w:t>Incendie</w:t>
            </w:r>
          </w:p>
        </w:tc>
        <w:tc>
          <w:tcPr>
            <w:tcW w:type="dxa" w:w="3118"/>
            <w:vAlign w:val="center"/>
            <w:tcMar>
              <w:top w:w="30" w:type="dxa"/>
              <w:bottom w:w="30" w:type="dxa"/>
              <w:start w:w="80" w:type="dxa"/>
              <w:end w:w="80" w:type="dxa"/>
            </w:tcMar>
          </w:tcPr>
          <w:p>
            <w:pPr>
              <w:spacing w:after="0" w:before="0"/>
              <w:jc w:val="left"/>
            </w:pPr>
            <w:r/>
            <w:r>
              <w:rPr>
                <w:rFonts w:ascii="Calibri" w:hAnsi="Calibri"/>
                <w:b w:val="0"/>
                <w:sz w:val="18"/>
              </w:rPr>
              <w:t>Règlement ERP, SSI, désenfumage, compartimentage</w:t>
            </w:r>
          </w:p>
        </w:tc>
        <w:tc>
          <w:tcPr>
            <w:tcW w:type="dxa" w:w="4479"/>
            <w:vAlign w:val="center"/>
            <w:tcMar>
              <w:top w:w="30" w:type="dxa"/>
              <w:bottom w:w="30" w:type="dxa"/>
              <w:start w:w="80" w:type="dxa"/>
              <w:end w:w="80" w:type="dxa"/>
            </w:tcMar>
          </w:tcPr>
          <w:p>
            <w:pPr>
              <w:spacing w:after="0" w:before="0"/>
              <w:jc w:val="left"/>
            </w:pPr>
            <w:r/>
            <w:r>
              <w:rPr>
                <w:rFonts w:ascii="Calibri" w:hAnsi="Calibri"/>
                <w:b w:val="0"/>
                <w:sz w:val="18"/>
              </w:rPr>
              <w:t>Système de sécurité incendie, dégagements et issues de secours</w:t>
            </w:r>
          </w:p>
        </w:tc>
      </w:tr>
      <w:tr>
        <w:tc>
          <w:tcPr>
            <w:tcW w:type="dxa" w:w="1757"/>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Environnement</w:t>
            </w:r>
          </w:p>
        </w:tc>
        <w:tc>
          <w:tcPr>
            <w:tcW w:type="dxa" w:w="3118"/>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Loi AGEC, gestion des déchets, bilan carbone</w:t>
            </w:r>
          </w:p>
        </w:tc>
        <w:tc>
          <w:tcPr>
            <w:tcW w:type="dxa" w:w="4479"/>
            <w:vAlign w:val="center"/>
            <w:tcMar>
              <w:top w:w="30" w:type="dxa"/>
              <w:bottom w:w="30" w:type="dxa"/>
              <w:start w:w="80" w:type="dxa"/>
              <w:end w:w="80" w:type="dxa"/>
            </w:tcMar>
            <w:shd w:val="clear" w:color="auto" w:fill="EAF1F8"/>
          </w:tcPr>
          <w:p>
            <w:pPr>
              <w:spacing w:after="0" w:before="0"/>
              <w:jc w:val="left"/>
            </w:pPr>
            <w:r/>
            <w:r>
              <w:rPr>
                <w:rFonts w:ascii="Calibri" w:hAnsi="Calibri"/>
                <w:b w:val="0"/>
                <w:sz w:val="18"/>
              </w:rPr>
              <w:t>Tri et valorisation des déchets, économie circulaire, mesure du carbone</w:t>
            </w:r>
          </w:p>
        </w:tc>
      </w:tr>
      <w:tr>
        <w:tc>
          <w:tcPr>
            <w:tcW w:type="dxa" w:w="1757"/>
            <w:vAlign w:val="center"/>
            <w:tcMar>
              <w:top w:w="30" w:type="dxa"/>
              <w:bottom w:w="30" w:type="dxa"/>
              <w:start w:w="80" w:type="dxa"/>
              <w:end w:w="80" w:type="dxa"/>
            </w:tcMar>
          </w:tcPr>
          <w:p>
            <w:pPr>
              <w:spacing w:after="0" w:before="0"/>
              <w:jc w:val="left"/>
            </w:pPr>
            <w:r/>
            <w:r>
              <w:rPr>
                <w:rFonts w:ascii="Calibri" w:hAnsi="Calibri"/>
                <w:b w:val="0"/>
                <w:sz w:val="18"/>
              </w:rPr>
              <w:t>Normes / référentiels</w:t>
            </w:r>
          </w:p>
        </w:tc>
        <w:tc>
          <w:tcPr>
            <w:tcW w:type="dxa" w:w="3118"/>
            <w:vAlign w:val="center"/>
            <w:tcMar>
              <w:top w:w="30" w:type="dxa"/>
              <w:bottom w:w="30" w:type="dxa"/>
              <w:start w:w="80" w:type="dxa"/>
              <w:end w:w="80" w:type="dxa"/>
            </w:tcMar>
          </w:tcPr>
          <w:p>
            <w:pPr>
              <w:spacing w:after="0" w:before="0"/>
              <w:jc w:val="left"/>
            </w:pPr>
            <w:r/>
            <w:r>
              <w:rPr>
                <w:rFonts w:ascii="Calibri" w:hAnsi="Calibri"/>
                <w:b w:val="0"/>
                <w:sz w:val="18"/>
              </w:rPr>
              <w:t>HQE, ISO 9001, ISO 14001, ISO 45001, ISO 19650 (BIM)</w:t>
            </w:r>
          </w:p>
        </w:tc>
        <w:tc>
          <w:tcPr>
            <w:tcW w:type="dxa" w:w="4479"/>
            <w:vAlign w:val="center"/>
            <w:tcMar>
              <w:top w:w="30" w:type="dxa"/>
              <w:bottom w:w="30" w:type="dxa"/>
              <w:start w:w="80" w:type="dxa"/>
              <w:end w:w="80" w:type="dxa"/>
            </w:tcMar>
          </w:tcPr>
          <w:p>
            <w:pPr>
              <w:spacing w:after="0" w:before="0"/>
              <w:jc w:val="left"/>
            </w:pPr>
            <w:r/>
            <w:r>
              <w:rPr>
                <w:rFonts w:ascii="Calibri" w:hAnsi="Calibri"/>
                <w:b w:val="0"/>
                <w:sz w:val="18"/>
              </w:rPr>
              <w:t>Management qualité, environnement et sécurité ; maquette numérique BIM</w:t>
            </w:r>
          </w:p>
        </w:tc>
      </w:tr>
    </w:tbl>
    <w:p>
      <w:pPr>
        <w:spacing w:before="40" w:after="180"/>
        <w:jc w:val="center"/>
      </w:pPr>
      <w:r>
        <w:rPr>
          <w:i/>
          <w:color w:val="7F7F7F"/>
          <w:sz w:val="18"/>
        </w:rPr>
        <w:t>Principales réglementations et normes applicables.</w:t>
      </w:r>
    </w:p>
    <w:p>
      <w:pPr>
        <w:spacing w:after="140" w:before="0"/>
        <w:jc w:val="both"/>
      </w:pPr>
      <w:r>
        <w:rPr>
          <w:b w:val="0"/>
          <w:i w:val="0"/>
          <w:sz w:val="22"/>
        </w:rPr>
        <w:t>Le respect de ces exigences conditionne à la fois l’autorisation de construire (permis, ERP), la conformité de l’ouvrage (RE2020, Eurocodes, DTU) et l’atteinte des objectifs environnementaux affichés par le maître d’ouvrage (HQE, loi AGEC).</w:t>
      </w:r>
    </w:p>
    <w:p>
      <w:r>
        <w:br w:type="page"/>
      </w:r>
    </w:p>
    <w:p>
      <w:pPr>
        <w:pStyle w:val="Heading1"/>
      </w:pPr>
      <w:r>
        <w:t>Questions de réflexion stratégique</w:t>
      </w:r>
    </w:p>
    <w:p>
      <w:pPr>
        <w:pStyle w:val="Heading2"/>
      </w:pPr>
      <w:r>
        <w:t>1. Les trois risques majeurs du projet</w:t>
      </w:r>
    </w:p>
    <w:p>
      <w:pPr>
        <w:spacing w:after="140" w:before="0"/>
        <w:jc w:val="both"/>
      </w:pPr>
      <w:r>
        <w:rPr>
          <w:b w:val="0"/>
          <w:i w:val="0"/>
          <w:sz w:val="22"/>
        </w:rPr>
        <w:t>Le délai (le planning prévisionnel ressort à 21 mois pour un objectif de 18), la hausse du coût des matériaux qui pèse directement sur le budget de 9 M€, et les délais d’approvisionnement des équipements techniques (photovoltaïque, CVC, bornes de recharge).</w:t>
      </w:r>
    </w:p>
    <w:p>
      <w:pPr>
        <w:pStyle w:val="Heading2"/>
      </w:pPr>
      <w:r>
        <w:t>2. Impact d’une hausse de 20 % du coût des matériaux</w:t>
      </w:r>
    </w:p>
    <w:p>
      <w:pPr>
        <w:spacing w:after="140" w:before="0"/>
        <w:jc w:val="both"/>
      </w:pPr>
      <w:r>
        <w:rPr>
          <w:b w:val="0"/>
          <w:i w:val="0"/>
          <w:sz w:val="22"/>
        </w:rPr>
        <w:t>Sur une opération de ce type, les matériaux représentent de l’ordre de la moitié du coût de construction. Une hausse de 20 % sur cette part se traduit donc par un surcoût d’environ 10 % du budget total, soit près de 0,9 M€ sur 9 M€ : l’enveloppe plafond serait dépassée. Les leviers sont les clauses de révision de prix, l’achat anticipé des matériaux sensibles et l’optimisation de la conception (quantités, choix techniques).</w:t>
      </w:r>
    </w:p>
    <w:p>
      <w:pPr>
        <w:pStyle w:val="Heading2"/>
      </w:pPr>
      <w:r>
        <w:t>3. Sécuriser le respect du délai de 18 mois</w:t>
      </w:r>
    </w:p>
    <w:p>
      <w:pPr>
        <w:spacing w:after="140" w:before="0"/>
        <w:jc w:val="both"/>
      </w:pPr>
      <w:r>
        <w:rPr>
          <w:b w:val="0"/>
          <w:i w:val="0"/>
          <w:sz w:val="22"/>
        </w:rPr>
        <w:t>Puisque le chemin critique ressort à 21 mois, il faut le comprimer de 3 mois. Concrètement : déposer le permis au plus tôt et instruire les consultations en parallèle, recourir à la préfabrication pour la structure, faire chevaucher le démarrage des lots techniques et du second œuvre, commander dès le départ les équipements à long délai, provisionner les intempéries et piloter les jalons critiques en réunion de chantier hebdomadaire. Le BIM aide à fiabiliser cette coordination.</w:t>
      </w:r>
    </w:p>
    <w:p>
      <w:pPr>
        <w:pStyle w:val="Heading2"/>
      </w:pPr>
      <w:r>
        <w:t>4. Indicateurs de pilotage pour le comité de pilotage</w:t>
      </w:r>
    </w:p>
    <w:p>
      <w:pPr>
        <w:spacing w:after="140" w:before="0"/>
        <w:jc w:val="both"/>
      </w:pPr>
      <w:r>
        <w:rPr>
          <w:b w:val="0"/>
          <w:i w:val="0"/>
          <w:sz w:val="22"/>
        </w:rPr>
        <w:t>Avancement physique par rapport au planning (jalons tenus), indices de performance délai et coût issus de la valeur acquise (SPI et CPI), coût engagé par rapport au budget, taux de réserves, indicateurs de sécurité (taux de fréquence et de gravité, presqu’accidents), indicateurs environnementaux (taux de valorisation des déchets, bilan carbone) et suivi du registre des risques.</w:t>
      </w:r>
    </w:p>
    <w:p>
      <w:pPr>
        <w:pStyle w:val="Heading2"/>
      </w:pPr>
      <w:r>
        <w:t>5. Apports du BIM dans ce projet</w:t>
      </w:r>
    </w:p>
    <w:p>
      <w:pPr>
        <w:spacing w:after="140" w:before="0"/>
        <w:jc w:val="both"/>
      </w:pPr>
      <w:r>
        <w:rPr>
          <w:b w:val="0"/>
          <w:i w:val="0"/>
          <w:sz w:val="22"/>
        </w:rPr>
        <w:t>La maquette numérique partagée (ISO 19650) améliore la coordination entre lots, permet de détecter les conflits avant le chantier, fiabilise les quantitatifs et donc le budget, et facilite l’exploitation future grâce à un DOE numérique. Au final, moins d’erreurs et de reprises, donc des gains de délai, de coût et de qualité.</w:t>
      </w:r>
    </w:p>
    <w:p>
      <w:pPr>
        <w:pStyle w:val="Heading2"/>
      </w:pPr>
      <w:r>
        <w:t>6. Concilier performance économique, environnementale et sécurité</w:t>
      </w:r>
    </w:p>
    <w:p>
      <w:pPr>
        <w:spacing w:after="140" w:before="0"/>
        <w:jc w:val="both"/>
      </w:pPr>
      <w:r>
        <w:rPr>
          <w:b w:val="0"/>
          <w:i w:val="0"/>
          <w:sz w:val="22"/>
        </w:rPr>
        <w:t>La clé est de raisonner en coût global plutôt qu’en coût d’achat : un bâtiment HQE/RE2020 coûte un peu plus cher à la construction mais moins cher à l’usage. Il faut intégrer ces trois dimensions dès les études (conception bioclimatique, matériaux bas carbone optimisés, sécurité prise en compte dans le planning via le SPS), et arbitrer les compromis à l’aide du BIM. Bien anticipée, la sécurité ne coûte pas de temps : ce sont les accidents qui en font perdre.</w:t>
      </w:r>
    </w:p>
    <w:p>
      <w:r>
        <w:br w:type="page"/>
      </w:r>
    </w:p>
    <w:p>
      <w:pPr>
        <w:pStyle w:val="Heading1"/>
      </w:pPr>
      <w:r>
        <w:t>Conclusion — recommandation au comité de direction</w:t>
      </w:r>
    </w:p>
    <w:p>
      <w:pPr>
        <w:spacing w:after="140" w:before="0"/>
        <w:jc w:val="both"/>
      </w:pPr>
      <w:r>
        <w:rPr>
          <w:b w:val="0"/>
          <w:i w:val="0"/>
          <w:sz w:val="22"/>
        </w:rPr>
        <w:t>Le projet est techniquement réalisable et son cadrage est solide. Deux réserves doivent toutefois être levées avant le lancement définitif. D’abord le délai : le planning prévisionnel ressort à 21 mois, soit 3 de plus que l’objectif ; il faut valider un plan de compression (anticipation du permis et des approvisionnements, préfabrication, chevauchement des lots) avant de s’engager sur les 18 mois. Ensuite le budget, exposé à la hausse des matériaux, qu’il faut sécuriser par des achats anticipés et des clauses de révision.</w:t>
      </w:r>
    </w:p>
    <w:p>
      <w:pPr>
        <w:spacing w:after="140" w:before="0"/>
        <w:jc w:val="both"/>
      </w:pPr>
      <w:r>
        <w:rPr>
          <w:b/>
          <w:i w:val="0"/>
          <w:color w:val="1F4E79"/>
          <w:sz w:val="22"/>
        </w:rPr>
        <w:t>Recommandation : lancer le projet sous conditions — plan de compression du délai validé, marché des matériaux sécurisé et registre des risques suivi en comité de pilotage. À ces conditions, les objectifs de coût, de délai, de qualité environnementale et de sécurité peuvent être tenus.</w:t>
      </w:r>
    </w:p>
    <w:sectPr w:rsidR="00FC693F" w:rsidRPr="0006063C" w:rsidSect="00034616">
      <w:footerReference w:type="default" r:id="rId12"/>
      <w:pgSz w:w="12240" w:h="15840"/>
      <w:pgMar w:top="1134" w:right="1247" w:bottom="107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92" w:val="center"/>
        <w:tab w:pos="9184" w:val="right"/>
      </w:tabs>
    </w:pPr>
    <w:r/>
    <w:r>
      <w:rPr>
        <w:color w:val="7F7F7F"/>
        <w:sz w:val="17"/>
      </w:rPr>
      <w:t>Étude de cas — Siège social DIGITECH</w:t>
    </w:r>
    <w:r>
      <w:tab/>
    </w:r>
    <w:r>
      <w:rPr>
        <w:color w:val="7F7F7F"/>
        <w:sz w:val="17"/>
      </w:rPr>
      <w:t xml:space="preserve">Page </w:t>
    </w:r>
    <w:r>
      <w:fldChar w:fldCharType="begin"/>
      <w:instrText xml:space="preserve"> PAGE </w:instrText>
      <w:fldChar w:fldCharType="separate"/>
    </w:r>
    <w:r>
      <w:rPr>
        <w:color w:val="7F7F7F"/>
        <w:sz w:val="17"/>
      </w:rPr>
      <w:t>1</w:t>
    </w:r>
    <w:r>
      <w:fldChar w:fldCharType="end"/>
    </w:r>
    <w:r>
      <w:rPr>
        <w:color w:val="7F7F7F"/>
        <w:sz w:val="17"/>
      </w:rPr>
      <w:t xml:space="preserve"> / </w:t>
    </w:r>
    <w:r>
      <w:fldChar w:fldCharType="begin"/>
      <w:instrText xml:space="preserve"> NUMPAGES </w:instrText>
      <w:fldChar w:fldCharType="separate"/>
    </w:r>
    <w:r>
      <w:rPr>
        <w:color w:val="7F7F7F"/>
        <w:sz w:val="17"/>
      </w:rPr>
      <w:t>1</w:t>
    </w:r>
    <w:r>
      <w:fldChar w:fldCharType="end"/>
    </w:r>
    <w:r>
      <w:tab/>
    </w:r>
    <w:r>
      <w:rPr>
        <w:color w:val="7F7F7F"/>
        <w:sz w:val="17"/>
      </w:rPr>
      <w:t>BATIPROJET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1" w:after="140"/>
      <w:jc w:val="both"/>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