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《地缘环境智能计算平台》V1.0</w:t>
      </w:r>
    </w:p>
    <w:p>
      <w:pPr>
        <w:jc w:val="center"/>
      </w:pPr>
      <w:r>
        <w:rPr>
          <w:b/>
          <w:sz w:val="44"/>
        </w:rPr>
        <w:t>使用说明书</w:t>
      </w:r>
    </w:p>
    <w:p/>
    <w:p>
      <w:pPr>
        <w:jc w:val="center"/>
      </w:pPr>
      <w:r>
        <w:rPr>
          <w:sz w:val="24"/>
        </w:rPr>
        <w:t>（普通用户界面与功能说明）</w:t>
      </w:r>
    </w:p>
    <w:p>
      <w:r>
        <w:br w:type="page"/>
      </w:r>
    </w:p>
    <w:p>
      <w:pPr>
        <w:spacing w:before="280" w:after="120"/>
      </w:pPr>
      <w:r>
        <w:rPr>
          <w:b/>
          <w:sz w:val="32"/>
        </w:rPr>
        <w:t>目录</w:t>
      </w:r>
    </w:p>
    <w:p>
      <w:pPr>
        <w:spacing w:after="40"/>
      </w:pPr>
      <w:r>
        <w:t>一、软件简介</w:t>
      </w:r>
    </w:p>
    <w:p>
      <w:pPr>
        <w:spacing w:after="40"/>
      </w:pPr>
      <w:r>
        <w:t>二、硬件和软件环境</w:t>
      </w:r>
    </w:p>
    <w:p>
      <w:pPr>
        <w:spacing w:after="40"/>
      </w:pPr>
      <w:r>
        <w:t>三、操作说明</w:t>
      </w:r>
    </w:p>
    <w:p>
      <w:pPr>
        <w:spacing w:after="40"/>
      </w:pPr>
      <w:r>
        <w:t xml:space="preserve">    3.1 登录与账号</w:t>
      </w:r>
    </w:p>
    <w:p>
      <w:pPr>
        <w:spacing w:after="40"/>
      </w:pPr>
      <w:r>
        <w:t xml:space="preserve">    3.2 主工作台：项目、对话与提问</w:t>
      </w:r>
    </w:p>
    <w:p>
      <w:pPr>
        <w:spacing w:after="40"/>
      </w:pPr>
      <w:r>
        <w:t xml:space="preserve">    3.3 研究方案确认与口径问答</w:t>
      </w:r>
    </w:p>
    <w:p>
      <w:pPr>
        <w:spacing w:after="40"/>
      </w:pPr>
      <w:r>
        <w:t xml:space="preserve">    3.4 执行进度、任务分工与停止</w:t>
      </w:r>
    </w:p>
    <w:p>
      <w:pPr>
        <w:spacing w:after="40"/>
      </w:pPr>
      <w:r>
        <w:t xml:space="preserve">    3.5 结果、产物与证据链</w:t>
      </w:r>
    </w:p>
    <w:p>
      <w:pPr>
        <w:spacing w:after="40"/>
      </w:pPr>
      <w:r>
        <w:t xml:space="preserve">    3.6 结果可视化：图表与结构化组件</w:t>
      </w:r>
    </w:p>
    <w:p>
      <w:pPr>
        <w:spacing w:after="40"/>
      </w:pPr>
      <w:r>
        <w:t xml:space="preserve">    3.7 文件面板：上传、结果、共享数据、过程记录</w:t>
      </w:r>
    </w:p>
    <w:p>
      <w:pPr>
        <w:spacing w:after="40"/>
      </w:pPr>
      <w:r>
        <w:t xml:space="preserve">    3.8 空间数据预览</w:t>
      </w:r>
    </w:p>
    <w:p>
      <w:pPr>
        <w:spacing w:after="40"/>
      </w:pPr>
      <w:r>
        <w:t xml:space="preserve">    3.9 全球事件监测</w:t>
      </w:r>
    </w:p>
    <w:p>
      <w:pPr>
        <w:spacing w:after="40"/>
      </w:pPr>
      <w:r>
        <w:t xml:space="preserve">    3.10 监测全屏研究工作台</w:t>
      </w:r>
    </w:p>
    <w:p>
      <w:pPr>
        <w:spacing w:after="40"/>
      </w:pPr>
      <w:r>
        <w:t xml:space="preserve">    3.11 监测简报、账号与资源用量</w:t>
      </w:r>
    </w:p>
    <w:p>
      <w:pPr>
        <w:spacing w:after="40"/>
      </w:pPr>
      <w:r>
        <w:t xml:space="preserve">    3.12 外部地理服务查询</w:t>
      </w:r>
    </w:p>
    <w:p>
      <w:pPr>
        <w:spacing w:after="40"/>
      </w:pPr>
      <w:r>
        <w:t>附录：界面术语对照</w:t>
      </w:r>
    </w:p>
    <w:p>
      <w:r>
        <w:br w:type="page"/>
      </w:r>
    </w:p>
    <w:p>
      <w:pPr>
        <w:spacing w:before="280" w:after="120"/>
      </w:pPr>
      <w:r>
        <w:rPr>
          <w:b/>
          <w:sz w:val="32"/>
        </w:rPr>
        <w:t>一、软件简介</w:t>
      </w:r>
    </w:p>
    <w:p>
      <w:r>
        <w:rPr>
          <w:b w:val="0"/>
        </w:rPr>
        <w:t>地缘环境智能计算平台 V1.0 是面向地缘环境研究与决策支持的智能计算系统。平台把夜间灯光遥感、全球事件监测、行政区划与社会经济统计等多源数据接入同一条研究流水线，并把观测获取、空间统计、趋势与异常分析、证据整理与报告撰写交给一组受控的研究智能体协同完成。用户只需用中文提出研究问题，平台即给出研究方案、执行分析、产出可下载的图件与报告，并保留完整的来源与限制说明。</w:t>
      </w:r>
    </w:p>
    <w:p>
      <w:r>
        <w:rPr>
          <w:b w:val="0"/>
        </w:rPr>
        <w:t>平台以“研究主管 + 数据助手 + 分析助手 + 事件助手”四个固定角色协同工作。凡涉及真实数据获取与计算的多步骤任务，都会先向用户呈现研究方案（科学问题、约束、角色分工、任务依赖与交付形式），用户确认后才开始执行；没有用户的批准，平台不会执行 Python 或数据下载。所有模型生成的代码只在隔离的容器内运行，容器不使用宿主机凭据、不能联网（数据获取走固定入口），产物统一落在本对话的成果目录中。</w:t>
      </w:r>
    </w:p>
    <w:p>
      <w:r>
        <w:rPr>
          <w:b/>
        </w:rPr>
        <w:t>主要功能：</w:t>
      </w:r>
    </w:p>
    <w:p>
      <w:pPr>
        <w:pStyle w:val="ListBullet"/>
        <w:spacing w:after="40"/>
      </w:pPr>
      <w:r>
        <w:t>自然语言研究与结果可视化：用中文提出研究问题，平台自动判断是简单问答还是多步骤研究；多步骤任务先出方案、用户确认后执行。图表、表格、指标卡与结构化面板直接呈现在对话与文件面板中。</w:t>
      </w:r>
    </w:p>
    <w:p>
      <w:pPr>
        <w:pStyle w:val="ListBullet"/>
        <w:spacing w:after="40"/>
      </w:pPr>
      <w:r>
        <w:t>数据获取与预处理：通过固定入口从 Google Earth Engine 获取夜间灯光、人口等栅格数据，从 DataV / geoBoundaries 获取行政区划边界，并在容器内完成裁剪、重投影、镶嵌与网格对齐检查。</w:t>
      </w:r>
    </w:p>
    <w:p>
      <w:pPr>
        <w:pStyle w:val="ListBullet"/>
        <w:spacing w:after="40"/>
      </w:pPr>
      <w:r>
        <w:t>时空统计与分析：提供分区统计（ANTL 等指标）、时间序列趋势与显著性、异常检测、事件窗口对比、缓冲区与空间连接等 14 项原子 GIS/NTL 工具；未知数据集或波段不会由模型臆测。</w:t>
      </w:r>
    </w:p>
    <w:p>
      <w:pPr>
        <w:pStyle w:val="ListBullet"/>
        <w:spacing w:after="40"/>
      </w:pPr>
      <w:r>
        <w:t>证据链与可追溯报告：重要结论可落成“断言—证据矩阵”（每条断言引用真实产物或带检索时间的来源，并记录矛盾证据与不确定性），并据此生成中文研究报告。</w:t>
      </w:r>
    </w:p>
    <w:p>
      <w:pPr>
        <w:pStyle w:val="ListBullet"/>
        <w:spacing w:after="40"/>
      </w:pPr>
      <w:r>
        <w:t>全球事件监测：后台持续汇集国际公开事件源（GDACS、NASA EONET、EMSC 与国际新闻等），按关注等级分级显示在世界地图上，提供结构化中文简报，并可一键“带入研究对话”核验线索。</w:t>
      </w:r>
    </w:p>
    <w:p>
      <w:pPr>
        <w:pStyle w:val="ListBullet"/>
        <w:spacing w:after="40"/>
      </w:pPr>
      <w:r>
        <w:t>共享数据与空间预览：管理员可配置只读共享数据库（公开用例数据、全球边界与影像、GDP、书籍与数据包）；用户可在文件面板浏览共享数据，也可在“空间数据”标签把 GeoJSON / Shapefile / GeoTIFF 叠加到世界地图查看。</w:t>
      </w:r>
    </w:p>
    <w:p>
      <w:pPr>
        <w:pStyle w:val="ListBullet"/>
        <w:spacing w:after="40"/>
      </w:pPr>
      <w:r>
        <w:t>外部地理服务查询：接入高德 LBS 与 NASA CMR 两台远程服务，可做地名与坐标互转、POI 检索、距离与路径量级估算，并在首次使用某个数据集前查明官方条目、空间与时间覆盖、变量定义与引用出处。其结果按外部来源引用，不作为平台观测。</w:t>
      </w:r>
    </w:p>
    <w:p>
      <w:r>
        <w:rPr>
          <w:b w:val="0"/>
        </w:rPr>
        <w:t>运行边界：普通用户没有终端、主机目录选择器、模型与插件配置权限；每个账号同时最多两个研究对话与两个计算作业，超出自动排队。平台以本地优先方式部署，数据、账号与产物都保存在本机独立目录中。</w:t>
      </w:r>
    </w:p>
    <w:p>
      <w:pPr>
        <w:spacing w:before="280" w:after="120"/>
      </w:pPr>
      <w:r>
        <w:rPr>
          <w:b/>
          <w:sz w:val="32"/>
        </w:rPr>
        <w:t>二、硬件和软件环境</w:t>
      </w:r>
    </w:p>
    <w:p>
      <w:r>
        <w:rPr>
          <w:b/>
        </w:rPr>
        <w:t>服务器端环境：</w:t>
      </w:r>
    </w:p>
    <w:p>
      <w:pPr>
        <w:pStyle w:val="ListBullet"/>
        <w:spacing w:after="40"/>
      </w:pPr>
      <w:r>
        <w:t>CPU：8 核 16 线程及以上。</w:t>
      </w:r>
    </w:p>
    <w:p>
      <w:pPr>
        <w:pStyle w:val="ListBullet"/>
        <w:spacing w:after="40"/>
      </w:pPr>
      <w:r>
        <w:t>内存：建议 32 GB（每个计算容器默认 3 GiB，每账号最多同时 2 个作业）。</w:t>
      </w:r>
    </w:p>
    <w:p>
      <w:pPr>
        <w:pStyle w:val="ListBullet"/>
        <w:spacing w:after="40"/>
      </w:pPr>
      <w:r>
        <w:t>硬盘：建议 60 GB 以上可用空间（GIS 镜像约 4.2 GB，另需发布版本与用户产物空间）。</w:t>
      </w:r>
    </w:p>
    <w:p>
      <w:pPr>
        <w:pStyle w:val="ListBullet"/>
        <w:spacing w:after="40"/>
      </w:pPr>
      <w:r>
        <w:t>操作系统：Windows 10/11 64 位。</w:t>
      </w:r>
    </w:p>
    <w:p>
      <w:pPr>
        <w:pStyle w:val="ListBullet"/>
        <w:spacing w:after="40"/>
      </w:pPr>
      <w:r>
        <w:t>应用软件：Node.js 24、pnpm 10.33、Docker Desktop（Linux 容器）、Python 3.11（容器内）、GDAL 3.6。</w:t>
      </w:r>
    </w:p>
    <w:p>
      <w:r>
        <w:rPr>
          <w:b/>
        </w:rPr>
        <w:t>客户端环境（用户端）：</w:t>
      </w:r>
    </w:p>
    <w:p>
      <w:pPr>
        <w:pStyle w:val="ListBullet"/>
        <w:spacing w:after="40"/>
      </w:pPr>
      <w:r>
        <w:t>硬件：普通个人计算机（Windows / macOS）。</w:t>
      </w:r>
    </w:p>
    <w:p>
      <w:pPr>
        <w:pStyle w:val="ListBullet"/>
        <w:spacing w:after="40"/>
      </w:pPr>
      <w:r>
        <w:t>浏览器：Chrome 90+、Edge 等现代浏览器。</w:t>
      </w:r>
    </w:p>
    <w:p>
      <w:pPr>
        <w:pStyle w:val="ListBullet"/>
        <w:spacing w:after="40"/>
      </w:pPr>
      <w:r>
        <w:t>网络：需能访问平台地址；本机部署时通过 127.0.0.1 访问。</w:t>
      </w:r>
    </w:p>
    <w:p>
      <w:pPr>
        <w:spacing w:before="280" w:after="120"/>
      </w:pPr>
      <w:r>
        <w:rPr>
          <w:b/>
          <w:sz w:val="32"/>
        </w:rPr>
        <w:t>三、操作说明</w:t>
      </w:r>
    </w:p>
    <w:p>
      <w:r>
        <w:rPr>
          <w:b w:val="0"/>
        </w:rPr>
        <w:t>地缘环境智能计算平台 V1.0 的使用十分简单：用浏览器打开平台地址并登录后，即可在工作台创建项目、提出问题并查看结果。以下按界面顺序说明各项功能。</w:t>
      </w:r>
    </w:p>
    <w:p>
      <w:pPr>
        <w:spacing w:before="200" w:after="120"/>
      </w:pPr>
      <w:r>
        <w:rPr>
          <w:b/>
          <w:sz w:val="26"/>
        </w:rPr>
        <w:t>3.1 登录与账号</w:t>
      </w:r>
    </w:p>
    <w:p>
      <w:r>
        <w:rPr>
          <w:b w:val="0"/>
        </w:rPr>
        <w:t>用户在浏览器中打开平台地址后进入登录界面，输入账号与密码登录。平台采用邀请制：新用户需持有管理员发放的邀请码，点击“使用邀请码注册”完成注册后即可登录。登录状态由服务端会话维护，用户修改密码后已有登录会全部失效，需要重新登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04040"/>
          <w:sz w:val="18"/>
        </w:rPr>
        <w:t>图1 用户登录界面</w:t>
      </w:r>
    </w:p>
    <w:p>
      <w:pPr>
        <w:spacing w:before="200" w:after="120"/>
      </w:pPr>
      <w:r>
        <w:rPr>
          <w:b/>
          <w:sz w:val="26"/>
        </w:rPr>
        <w:t>3.2 主工作台：项目、对话与提问</w:t>
      </w:r>
    </w:p>
    <w:p>
      <w:r>
        <w:rPr>
          <w:b w:val="0"/>
        </w:rPr>
        <w:t>登录后进入主工作台，界面分为三部分：左侧为导航区，列出研究项目与每个项目下的研究对话，并提供“新建项目”入口；中间为对话区，显示提问、研究过程与结论；下方为输入框，输入研究问题后回车或点击发送按钮提交。右栏为功能面板区，包含文件、全球事件监测、监测简报、空间数据与任务管理等标签页（点击标签栏右侧“+”可切换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n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04040"/>
          <w:sz w:val="18"/>
        </w:rPr>
        <w:t>图2 主工作台：左侧项目与对话、中间研究过程、右侧功能面板</w:t>
      </w:r>
    </w:p>
    <w:p>
      <w:pPr>
        <w:spacing w:before="200" w:after="120"/>
      </w:pPr>
      <w:r>
        <w:rPr>
          <w:b/>
          <w:sz w:val="26"/>
        </w:rPr>
        <w:t>3.3 研究方案确认与口径问答</w:t>
      </w:r>
    </w:p>
    <w:p>
      <w:r>
        <w:rPr>
          <w:b w:val="0"/>
        </w:rPr>
        <w:t>对于多步骤研究任务，平台不会立即执行，而是先给出研究方案并提交用户审阅（界面底部出现“计划待审”卡片）：卡片列出科学问题、约束条件与任务清单（每项标注负责角色与依赖关系），并提供“去聊天里说”“拒绝”“确认执行”三个操作。只有点击“确认执行”，调度器才会把任务派发给研究成员；方案未确认时不运行任何计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04040"/>
          <w:sz w:val="18"/>
        </w:rPr>
        <w:t>图3 研究方案审阅：计划待审、任务清单与确认执行</w:t>
      </w:r>
    </w:p>
    <w:p>
      <w:r>
        <w:rPr>
          <w:b w:val="0"/>
        </w:rPr>
        <w:t>在制定方案前，如果关键口径会直接影响结论（例如“城区”按哪个边界统计、时间窗口如何确定、是否纳入事件背景、交付形式），平台会先以选择题形式向用户确认：用户可选择推荐项、自由输入答案，也可以跳过本题。所有问答都记录在对话中，便于事后复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ques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04040"/>
          <w:sz w:val="18"/>
        </w:rPr>
        <w:t>图4 研究口径确认：平台先向用户确认关键选择</w:t>
      </w:r>
    </w:p>
    <w:p>
      <w:pPr>
        <w:spacing w:before="200" w:after="120"/>
      </w:pPr>
      <w:r>
        <w:rPr>
          <w:b/>
          <w:sz w:val="26"/>
        </w:rPr>
        <w:t>3.4 执行进度、任务分工与停止</w:t>
      </w:r>
    </w:p>
    <w:p>
      <w:r>
        <w:rPr>
          <w:b w:val="0"/>
        </w:rPr>
        <w:t>用户确认方案后，团队建立并进入执行队列。对话区显示任务表（任务、负责角色、状态与依赖），以及主管对成员状态的说明；主管只做分工与验收，不代替成员执行。执行期间输入框上方持续显示进度（轮次、步数、模型耗时、工具耗时、首个 token 平均时延）和“研究任务 N 进行中 · 未完成 M”。用户可随时点击“停止”取消当前成员与正在运行的计算作业；主对话顶部提供子智能体目录，用于只读回看成员历史。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un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04040"/>
          <w:sz w:val="18"/>
        </w:rPr>
        <w:t>图5 执行进度与任务分工：成员就位、依赖关系与状态</w:t>
      </w:r>
    </w:p>
    <w:p>
      <w:pPr>
        <w:spacing w:before="200" w:after="120"/>
      </w:pPr>
      <w:r>
        <w:rPr>
          <w:b/>
          <w:sz w:val="26"/>
        </w:rPr>
        <w:t>3.5 结果、产物与证据链</w:t>
      </w:r>
    </w:p>
    <w:p>
      <w:r>
        <w:rPr>
          <w:b w:val="0"/>
        </w:rPr>
        <w:t>研究完成后，结论以中文回答的形式给出，并在“产物与证据”一节列出本次运行产出的图件、明细表、核验记录与断言—证据矩阵。回答同时给出数据来源、口径与限制说明（例如样本范围、年份口径、译名与来源差异），不把共享数据或统计结果表述为平台观测结论，也不把重复计算说成独立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nsw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04040"/>
          <w:sz w:val="18"/>
        </w:rPr>
        <w:t>图6 研究结论、限制说明与产物与证据清单</w:t>
      </w:r>
    </w:p>
    <w:p>
      <w:pPr>
        <w:spacing w:before="200" w:after="120"/>
      </w:pPr>
      <w:r>
        <w:rPr>
          <w:b/>
          <w:sz w:val="26"/>
        </w:rPr>
        <w:t>3.6 结果可视化：图表与结构化组件</w:t>
      </w:r>
    </w:p>
    <w:p>
      <w:r>
        <w:rPr>
          <w:b w:val="0"/>
        </w:rPr>
        <w:t>平台要求把能用图、表、指标卡或面板说清楚的结果直接呈现，而不是只给文字和文件路径。对于排名、对比、时间线、流程或指标汇总这类内容，回答会以结构化组件渲染在对话中：表格可带单位与占比列，说明卡可写数据来源、口径与限制，关系图按同一套白名单组件渲染（一个主题一个主组件，同一份数据不重复展示）。组件里的数字与说明都来自本次研究的真实产物，不以美观为由编造数据或精度；也可在工具行直接渲染交付物型面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genu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04040"/>
          <w:sz w:val="18"/>
        </w:rPr>
        <w:t>图7 结构化组件渲染的表格与数据来源说明卡</w:t>
      </w:r>
    </w:p>
    <w:p>
      <w:pPr>
        <w:spacing w:before="200" w:after="120"/>
      </w:pPr>
      <w:r>
        <w:rPr>
          <w:b/>
          <w:sz w:val="26"/>
        </w:rPr>
        <w:t>3.7 文件面板：上传、结果、共享数据、过程记录</w:t>
      </w:r>
    </w:p>
    <w:p>
      <w:r>
        <w:rPr>
          <w:b w:val="0"/>
        </w:rPr>
        <w:t>右栏“文件”标签把工作区整理成四个分组，用户不需要理解磁盘目录结构：</w:t>
      </w:r>
    </w:p>
    <w:p>
      <w:pPr>
        <w:pStyle w:val="ListBullet"/>
        <w:spacing w:after="40"/>
      </w:pPr>
      <w:r>
        <w:t>上传的文件：本对话与所属项目上传的资料（上传按钮在输入框左侧的“+”）。</w:t>
      </w:r>
    </w:p>
    <w:p>
      <w:pPr>
        <w:pStyle w:val="ListBullet"/>
        <w:spacing w:after="40"/>
      </w:pPr>
      <w:r>
        <w:t>分析结果：本次研究产出的图件、表格、报告与空间数据，按类型归类；点击即可预览，也可下载。</w:t>
      </w:r>
    </w:p>
    <w:p>
      <w:pPr>
        <w:pStyle w:val="ListBullet"/>
        <w:spacing w:after="40"/>
      </w:pPr>
      <w:r>
        <w:t>共享数据（只读）：管理员配置的共享数据库（公开用例数据、全球边界与影像、GDP、参考书与数据包），用户不能修改。</w:t>
      </w:r>
    </w:p>
    <w:p>
      <w:pPr>
        <w:pStyle w:val="ListBullet"/>
        <w:spacing w:after="40"/>
      </w:pPr>
      <w:r>
        <w:t>过程记录：每一次计算作业的原始目录，用于追溯与复核。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iles-sh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04040"/>
          <w:sz w:val="18"/>
        </w:rPr>
        <w:t>图8 文件面板：上传的文件、分析结果、共享数据（只读）与过程记录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iles-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04040"/>
          <w:sz w:val="18"/>
        </w:rPr>
        <w:t>图9 在文件面板中预览分析结果（PNG 图件）</w:t>
      </w:r>
    </w:p>
    <w:p>
      <w:pPr>
        <w:spacing w:before="200" w:after="120"/>
      </w:pPr>
      <w:r>
        <w:rPr>
          <w:b/>
          <w:sz w:val="26"/>
        </w:rPr>
        <w:t>3.8 空间数据预览</w:t>
      </w:r>
    </w:p>
    <w:p>
      <w:r>
        <w:rPr>
          <w:b w:val="0"/>
        </w:rPr>
        <w:t>“空间数据”标签把当前对话与项目资料中的地理数据叠加到世界底图上预览：GeoJSON / JSON 直接绘制几何，CSV 自动识别经纬度列后绘制点位，Shapefile 读取几何与同名属性表并标注随 .shp 一起打包的配套文件数量，GeoTIFF 解析标签后按 2%–98% 分位拉伸渲染。面板同时给出几何类型与要素数量、坐标范围与属性表；无法渲染的格式只显示元数据与原因，不用占位图替代。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genu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04040"/>
          <w:sz w:val="18"/>
        </w:rPr>
        <w:t>图10 空间数据预览：Shapefile 叠加世界地图、范围与属性表</w:t>
      </w:r>
    </w:p>
    <w:p>
      <w:pPr>
        <w:spacing w:before="200" w:after="120"/>
      </w:pPr>
      <w:r>
        <w:rPr>
          <w:b/>
          <w:sz w:val="26"/>
        </w:rPr>
        <w:t>3.9 全球事件监测</w:t>
      </w:r>
    </w:p>
    <w:p>
      <w:r>
        <w:rPr>
          <w:b w:val="0"/>
        </w:rPr>
        <w:t>“全球事件监测”标签显示后台持续汇集、去重后的国际公开事件线索，按关注等级分级显示在地图上：重点线索（来源标记高关注且发布于 72 小时内）、高关注、中关注与低关注使用不同大小的符号，颜色区分事件类别（冲突、地缘政治、地震、野火、风暴、洪涝等）。地图上方提供关注等级与时间窗筛选以及分级规则说明；图例可按类别隐藏或显示；事件队列逐条列出中文标题、来源、时间、地点、等级与来源链接；“数据源渠道”显示各渠道本轮记录数或状态。</w:t>
      </w:r>
    </w:p>
    <w:p>
      <w:r>
        <w:rPr>
          <w:b w:val="0"/>
        </w:rPr>
        <w:t>对某条线索点击“带入研究对话”，平台会把该线索保存为当前项目的私有证据文件并预填研究问题，仍需用户确认发送，不会自动启动研究。</w:t>
      </w:r>
    </w:p>
    <w:p>
      <w:pPr>
        <w:spacing w:before="200" w:after="120"/>
      </w:pPr>
      <w:r>
        <w:rPr>
          <w:b/>
          <w:sz w:val="26"/>
        </w:rPr>
        <w:t>3.10 监测全屏研究工作台</w:t>
      </w:r>
    </w:p>
    <w:p>
      <w:r>
        <w:rPr>
          <w:b w:val="0"/>
        </w:rPr>
        <w:t>在地图上点击“全屏查看”进入整屏研究工作台：左侧为可缩放地图，右侧为研究栏，包含研究口径与快照（快照时间、采集进程、刷新间隔、条数上限）、重点线索列表（含结构化简报）、选中线索的详情（概要、要点、关注点、待核实、坐标与来源链接）以及数据源渠道状态。进入全屏时会一次性放开全部关注等级便于总览，地图左下角显示光标经纬度；按 Esc 或“退出全屏”返回。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onitor-fullscre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04040"/>
          <w:sz w:val="18"/>
        </w:rPr>
        <w:t>图11 全球事件监测的全屏研究工作台：分级地图、重点线索与研究口径</w:t>
      </w:r>
    </w:p>
    <w:p>
      <w:pPr>
        <w:spacing w:before="200" w:after="120"/>
      </w:pPr>
      <w:r>
        <w:rPr>
          <w:b/>
          <w:sz w:val="26"/>
        </w:rPr>
        <w:t>3.11 监测简报、账号与资源用量</w:t>
      </w:r>
    </w:p>
    <w:p>
      <w:r>
        <w:rPr>
          <w:b w:val="0"/>
        </w:rPr>
        <w:t>“监测简报”标签集中展示每条事件的结构化中文简报：概要、已记录要点、关注点与待核实事项，并可下载 Markdown 文件；简报只复述来源能够支持的内容，缺失项写“来源未说明”，不作为独立核实结论。</w:t>
      </w:r>
    </w:p>
    <w:p>
      <w:r>
        <w:rPr>
          <w:b w:val="0"/>
        </w:rPr>
        <w:t>点击主界面左下角的用户名可打开账号面板：查看个人资源用量（提问次数、等待作业、累计上传、计算作业与累计运行时长、工作区占用），修改密码或退出登录。修改密码后已有登录会全部失效。管理员账号在侧栏还会看到“管理中心”“产品配置与发布”“管理员设置”等入口，用于账号管理、邀请码生成与版本发布，与普通研究功能相互独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ccou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04040"/>
          <w:sz w:val="18"/>
        </w:rPr>
        <w:t>图12 账号面板：资源用量、修改密码与退出登录</w:t>
      </w:r>
    </w:p>
    <w:p>
      <w:pPr>
        <w:spacing w:before="200" w:after="120"/>
      </w:pPr>
      <w:r>
        <w:rPr>
          <w:b/>
          <w:sz w:val="26"/>
        </w:rPr>
        <w:t>3.12 外部地理服务查询</w:t>
      </w:r>
    </w:p>
    <w:p>
      <w:r>
        <w:rPr>
          <w:b w:val="0"/>
        </w:rPr>
        <w:t>平台接入两台远程地理服务，用户在对话中提出相关问题时由研究成员自动调用，无需另行配置：</w:t>
      </w:r>
    </w:p>
    <w:p>
      <w:pPr>
        <w:pStyle w:val="ListBullet"/>
        <w:spacing w:after="40"/>
      </w:pPr>
      <w:r>
        <w:t>高德 LBS：结构化地址转经纬度、经纬度反查行政区划、关键字与周边 POI 检索（港口、机场、医院、学校等）、两点距离与驾车/步行/公交路径规划。用于把地名落到坐标、把事件坐标落到行政区做归属核对、以及通行距离与时长的量级参考。</w:t>
      </w:r>
    </w:p>
    <w:p>
      <w:pPr>
        <w:pStyle w:val="ListBullet"/>
        <w:spacing w:after="40"/>
      </w:pPr>
      <w:r>
        <w:t>NASA CMR：按关键字查询官方数据集条目（含摘要、空间与时间范围）、查看某数据集下的具体影像条目、科学变量与测量定义，以及引用与 DOI、官方词表与处理服务。用于在首次使用某个数据集前查明来源与覆盖，避免模型臆测数据集或波段。</w:t>
      </w:r>
    </w:p>
    <w:p>
      <w:r>
        <w:rPr>
          <w:b w:val="0"/>
        </w:rPr>
        <w:t>这两类结果都按“外部来源”处理：可以引用并标注出处与检索时间，但不属于平台观测，也不能当作已核实事实；距离与路径结果是量级参考，不等同于基于路网的测距。</w:t>
      </w:r>
    </w:p>
    <w:p>
      <w:pPr>
        <w:spacing w:before="280" w:after="120"/>
      </w:pPr>
      <w:r>
        <w:rPr>
          <w:b/>
          <w:sz w:val="32"/>
        </w:rPr>
        <w:t>附录：界面术语对照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界面元素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研究方案 / 计划待审</w:t>
            </w:r>
          </w:p>
        </w:tc>
        <w:tc>
          <w:tcPr>
            <w:tcW w:type="dxa" w:w="4320"/>
          </w:tcPr>
          <w:p>
            <w:r>
              <w:t>多步骤任务在对话中呈现的方案卡片，需用户点击“确认执行”后才运行</w:t>
            </w:r>
          </w:p>
        </w:tc>
      </w:tr>
      <w:tr>
        <w:tc>
          <w:tcPr>
            <w:tcW w:type="dxa" w:w="4320"/>
          </w:tcPr>
          <w:p>
            <w:r>
              <w:t>研究主管 / 数据助手 / 分析助手 / 事件助手</w:t>
            </w:r>
          </w:p>
        </w:tc>
        <w:tc>
          <w:tcPr>
            <w:tcW w:type="dxa" w:w="4320"/>
          </w:tcPr>
          <w:p>
            <w:r>
              <w:t>平台的四个固定研究角色，由主管分配任务并验收</w:t>
            </w:r>
          </w:p>
        </w:tc>
      </w:tr>
      <w:tr>
        <w:tc>
          <w:tcPr>
            <w:tcW w:type="dxa" w:w="4320"/>
          </w:tcPr>
          <w:p>
            <w:r>
              <w:t>产物与证据</w:t>
            </w:r>
          </w:p>
        </w:tc>
        <w:tc>
          <w:tcPr>
            <w:tcW w:type="dxa" w:w="4320"/>
          </w:tcPr>
          <w:p>
            <w:r>
              <w:t>本次研究产出的图件、表格、报告与断言—证据矩阵清单</w:t>
            </w:r>
          </w:p>
        </w:tc>
      </w:tr>
      <w:tr>
        <w:tc>
          <w:tcPr>
            <w:tcW w:type="dxa" w:w="4320"/>
          </w:tcPr>
          <w:p>
            <w:r>
              <w:t>结构化组件（genui）</w:t>
            </w:r>
          </w:p>
        </w:tc>
        <w:tc>
          <w:tcPr>
            <w:tcW w:type="dxa" w:w="4320"/>
          </w:tcPr>
          <w:p>
            <w:r>
              <w:t>在对话中渲染表格、指标卡、图表与流程图的界面组件</w:t>
            </w:r>
          </w:p>
        </w:tc>
      </w:tr>
      <w:tr>
        <w:tc>
          <w:tcPr>
            <w:tcW w:type="dxa" w:w="4320"/>
          </w:tcPr>
          <w:p>
            <w:r>
              <w:t>共享数据（只读）</w:t>
            </w:r>
          </w:p>
        </w:tc>
        <w:tc>
          <w:tcPr>
            <w:tcW w:type="dxa" w:w="4320"/>
          </w:tcPr>
          <w:p>
            <w:r>
              <w:t>管理员配置的公共数据与参考材料，产品内不可修改</w:t>
            </w:r>
          </w:p>
        </w:tc>
      </w:tr>
      <w:tr>
        <w:tc>
          <w:tcPr>
            <w:tcW w:type="dxa" w:w="4320"/>
          </w:tcPr>
          <w:p>
            <w:r>
              <w:t>重点线索</w:t>
            </w:r>
          </w:p>
        </w:tc>
        <w:tc>
          <w:tcPr>
            <w:tcW w:type="dxa" w:w="4320"/>
          </w:tcPr>
          <w:p>
            <w:r>
              <w:t>来源标记为高关注且发布时间在 72 小时内的监测线索</w:t>
            </w:r>
          </w:p>
        </w:tc>
      </w:tr>
      <w:tr>
        <w:tc>
          <w:tcPr>
            <w:tcW w:type="dxa" w:w="4320"/>
          </w:tcPr>
          <w:p>
            <w:r>
              <w:t>过程记录</w:t>
            </w:r>
          </w:p>
        </w:tc>
        <w:tc>
          <w:tcPr>
            <w:tcW w:type="dxa" w:w="4320"/>
          </w:tcPr>
          <w:p>
            <w:r>
              <w:t>每次计算作业的原始目录，用于追溯与复核</w:t>
            </w:r>
          </w:p>
        </w:tc>
      </w:tr>
      <w:tr>
        <w:tc>
          <w:tcPr>
            <w:tcW w:type="dxa" w:w="4320"/>
          </w:tcPr>
          <w:p>
            <w:r>
              <w:t>资源用量</w:t>
            </w:r>
          </w:p>
        </w:tc>
        <w:tc>
          <w:tcPr>
            <w:tcW w:type="dxa" w:w="4320"/>
          </w:tcPr>
          <w:p>
            <w:r>
              <w:t>账号维度的提问次数、排队作业、上传量、计算作业与运行时长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