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2460"/>
        <w:gridCol w:w="6566"/>
        <w:tblGridChange w:id="0">
          <w:tblGrid>
            <w:gridCol w:w="2460"/>
            <w:gridCol w:w="6566"/>
          </w:tblGrid>
        </w:tblGridChange>
      </w:tblGrid>
      <w:t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Quattrocento Sans" w:cs="Quattrocento Sans" w:eastAsia="Quattrocento Sans" w:hAnsi="Quattrocento Sans"/>
                <w:b w:val="1"/>
                <w:i w:val="0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color w:val="ff0000"/>
                <w:sz w:val="21"/>
                <w:szCs w:val="21"/>
                <w:rtl w:val="0"/>
              </w:rPr>
              <w:t xml:space="preserve">Este documento possui dados pessoais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  <w:color w:val="035d9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35d93"/>
                <w:sz w:val="24"/>
                <w:szCs w:val="24"/>
                <w:rtl w:val="0"/>
              </w:rPr>
              <w:t xml:space="preserve">Acessos volumétricos originados do IP 191.235.64.85 direcionados ao vip-pmeuinssprxr.inss.gov.br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Indicadores de Ameaça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Informar os indicadores de ameaça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Período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Informar data de início/fim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Credenciais envolvidas / Ativos de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Credenciais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IPs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Ferramentas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Possível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Possível vazamento de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Contenção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Foi realizado o bloqueio temporário dos endereços no WAF.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8"/>
                <w:szCs w:val="28"/>
                <w:rtl w:val="0"/>
              </w:rPr>
              <w:t xml:space="preserve">Evidências/Contexto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IP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Evidência do endereço de 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Figuras da Evidência / 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Log WEB - 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Verificação da volumetria</w:t>
            </w:r>
          </w:p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Figuras da Evidência / Contexto</w:t>
            </w:r>
          </w:p>
          <w:p w:rsidR="00000000" w:rsidDel="00000000" w:rsidP="00000000" w:rsidRDefault="00000000" w:rsidRPr="00000000" w14:paraId="00000025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27.0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24.999999999998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2340"/>
      <w:gridCol w:w="315"/>
      <w:gridCol w:w="1274"/>
      <w:gridCol w:w="1274"/>
      <w:gridCol w:w="585"/>
      <w:gridCol w:w="1963"/>
      <w:gridCol w:w="1274"/>
      <w:tblGridChange w:id="0">
        <w:tblGrid>
          <w:gridCol w:w="2340"/>
          <w:gridCol w:w="315"/>
          <w:gridCol w:w="1274"/>
          <w:gridCol w:w="1274"/>
          <w:gridCol w:w="585"/>
          <w:gridCol w:w="1963"/>
          <w:gridCol w:w="1274"/>
        </w:tblGrid>
      </w:tblGridChange>
    </w:tblGrid>
    <w:t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d0cece" w:val="clear"/>
          <w:vAlign w:val="center"/>
        </w:tcPr>
        <w:p w:rsidR="00000000" w:rsidDel="00000000" w:rsidP="00000000" w:rsidRDefault="00000000" w:rsidRPr="00000000" w14:paraId="0000002D">
          <w:pPr>
            <w:spacing w:after="0" w:before="0" w:line="259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PESSOAL</w:t>
          </w:r>
        </w:p>
      </w:tc>
      <w:tc>
        <w:tcPr/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5015" cy="920345"/>
                <wp:effectExtent b="0" l="0" r="0" t="0"/>
                <wp:docPr id="13433259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5"/>
        </w:tcPr>
        <w:p w:rsidR="00000000" w:rsidDel="00000000" w:rsidP="00000000" w:rsidRDefault="00000000" w:rsidRPr="00000000" w14:paraId="00000031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DIT – Diretoria de Tecnologia 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SUOP – Superintendência de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DESO – Departamento de Segurança da Operação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DMPR – Divisão de Monit., Prev. e Resposta a Incidente de Segurança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140" w:line="288" w:lineRule="auto"/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after="14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z w:val="22"/>
              <w:szCs w:val="22"/>
              <w:rtl w:val="0"/>
            </w:rPr>
            <w:t xml:space="preserve">Reporte de Eventos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AMUW2mWjFOdrxwX9xH+toTrtl23YUg1bgz1r9x3Yh43Fb6FKpjupIcfttUC7+/kyswzr52N3b7DQ0YOZ7LA/7VEkObaEAPZ5vI4dw7+u7uhkl+p0HBpwbes=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2020-10-08T11:36:48.7643386Z</dcterms:created>
  <dc:creator>Paulo Guilherme Lanzillotti Jannuzzi</dc:creator>
</cp:coreProperties>
</file>