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000"/>
      </w:tblPr>
      <w:tblGrid>
        <w:gridCol w:w="2460"/>
        <w:gridCol w:w="6566"/>
        <w:tblGridChange w:id="0">
          <w:tblGrid>
            <w:gridCol w:w="2460"/>
            <w:gridCol w:w="6566"/>
          </w:tblGrid>
        </w:tblGridChange>
      </w:tblGrid>
      <w:t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Quattrocento Sans" w:cs="Quattrocento Sans" w:eastAsia="Quattrocento Sans" w:hAnsi="Quattrocento Sans"/>
                <w:b w:val="1"/>
                <w:i w:val="0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0"/>
                <w:color w:val="ff0000"/>
                <w:sz w:val="21"/>
                <w:szCs w:val="21"/>
                <w:rtl w:val="0"/>
              </w:rPr>
              <w:t xml:space="preserve">Este documento possui dados pessoais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Resumo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>
                <w:b w:val="1"/>
                <w:color w:val="035d9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35d93"/>
                <w:sz w:val="24"/>
                <w:szCs w:val="24"/>
                <w:rtl w:val="0"/>
              </w:rPr>
              <w:t xml:space="preserve">Acessos volumétricos originados do IP 191.235.64.85 direcionados ao vip-pmeuinssprxr.inss.gov.br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120" w:before="12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Indicadores de Ameaça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Informar os indicadores de ameaça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Período analisado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szCs w:val="24"/>
                <w:rtl w:val="0"/>
              </w:rPr>
              <w:t xml:space="preserve">Informar data de início/fim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Credenciais envolvidas / Ativos de informações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Credenciais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IPs de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ips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color w:val="000000"/>
                <w:sz w:val="22"/>
                <w:szCs w:val="22"/>
                <w:rtl w:val="0"/>
              </w:rPr>
              <w:t xml:space="preserve">Ferramentas de análise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Possível 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Possível vazamento de informações.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20" w:before="12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Contenção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Foi realizado o bloqueio temporário dos endereços no WAF.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9cc3e5" w:val="clear"/>
          </w:tcPr>
          <w:p w:rsidR="00000000" w:rsidDel="00000000" w:rsidP="00000000" w:rsidRDefault="00000000" w:rsidRPr="00000000" w14:paraId="00000018">
            <w:pPr>
              <w:spacing w:after="100" w:before="10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8"/>
                <w:szCs w:val="28"/>
                <w:rtl w:val="0"/>
              </w:rPr>
              <w:t xml:space="preserve">Evidências/Contexto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IP de 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4"/>
                <w:szCs w:val="24"/>
                <w:rtl w:val="0"/>
              </w:rPr>
              <w:t xml:space="preserve">Evidência do endereço de origem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="240" w:lineRule="auto"/>
              <w:jc w:val="left"/>
              <w:rPr>
                <w:rFonts w:ascii="Calibri" w:cs="Calibri" w:eastAsia="Calibri" w:hAnsi="Calibri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enderecoOrigem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E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2"/>
                <w:szCs w:val="22"/>
                <w:rtl w:val="0"/>
              </w:rPr>
              <w:t xml:space="preserve">Log WEB - ELK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z w:val="22"/>
                <w:szCs w:val="22"/>
                <w:rtl w:val="0"/>
              </w:rPr>
              <w:t xml:space="preserve">Verificação da volumetria</w:t>
            </w:r>
          </w:p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z w:val="22"/>
                <w:szCs w:val="22"/>
                <w:rtl w:val="0"/>
              </w:rPr>
              <w:t xml:space="preserve">Figuras da Evidência / Contexto</w:t>
            </w:r>
          </w:p>
          <w:p w:rsidR="00000000" w:rsidDel="00000000" w:rsidP="00000000" w:rsidRDefault="00000000" w:rsidRPr="00000000" w14:paraId="00000025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b w:val="0"/>
                <w:i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027.0" w:type="dxa"/>
      <w:jc w:val="left"/>
      <w:tblInd w:w="0.0" w:type="dxa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  <w:tblLayout w:type="fixed"/>
      <w:tblLook w:val="0600"/>
    </w:tblPr>
    <w:tblGrid>
      <w:gridCol w:w="3009"/>
      <w:gridCol w:w="3009"/>
      <w:gridCol w:w="3009"/>
      <w:tblGridChange w:id="0">
        <w:tblGrid>
          <w:gridCol w:w="3009"/>
          <w:gridCol w:w="3009"/>
          <w:gridCol w:w="3009"/>
        </w:tblGrid>
      </w:tblGridChange>
    </w:tblGrid>
    <w:tr>
      <w:tc>
        <w:tcPr/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024.999999999998" w:type="dxa"/>
      <w:jc w:val="left"/>
      <w:tblInd w:w="0.0" w:type="dxa"/>
      <w:tblBorders>
        <w:top w:color="b4c6e7" w:space="0" w:sz="4" w:val="single"/>
        <w:left w:color="b4c6e7" w:space="0" w:sz="4" w:val="single"/>
        <w:bottom w:color="b4c6e7" w:space="0" w:sz="4" w:val="single"/>
        <w:right w:color="b4c6e7" w:space="0" w:sz="4" w:val="single"/>
        <w:insideH w:color="b4c6e7" w:space="0" w:sz="4" w:val="single"/>
        <w:insideV w:color="b4c6e7" w:space="0" w:sz="4" w:val="single"/>
      </w:tblBorders>
      <w:tblLayout w:type="fixed"/>
      <w:tblLook w:val="0600"/>
    </w:tblPr>
    <w:tblGrid>
      <w:gridCol w:w="2340"/>
      <w:gridCol w:w="315"/>
      <w:gridCol w:w="1274"/>
      <w:gridCol w:w="1274"/>
      <w:gridCol w:w="585"/>
      <w:gridCol w:w="1963"/>
      <w:gridCol w:w="1274"/>
      <w:tblGridChange w:id="0">
        <w:tblGrid>
          <w:gridCol w:w="2340"/>
          <w:gridCol w:w="315"/>
          <w:gridCol w:w="1274"/>
          <w:gridCol w:w="1274"/>
          <w:gridCol w:w="585"/>
          <w:gridCol w:w="1963"/>
          <w:gridCol w:w="1274"/>
        </w:tblGrid>
      </w:tblGridChange>
    </w:tblGrid>
    <w:tr>
      <w:tc>
        <w:tcPr/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A">
          <w:pPr>
            <w:jc w:val="right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d0cece" w:val="clear"/>
          <w:vAlign w:val="center"/>
        </w:tcPr>
        <w:p w:rsidR="00000000" w:rsidDel="00000000" w:rsidP="00000000" w:rsidRDefault="00000000" w:rsidRPr="00000000" w14:paraId="0000002D">
          <w:pPr>
            <w:spacing w:after="0" w:before="0" w:line="259" w:lineRule="auto"/>
            <w:ind w:left="0" w:right="0" w:firstLine="0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PESSOAL</w:t>
          </w:r>
        </w:p>
      </w:tc>
      <w:tc>
        <w:tcPr/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5015" cy="920345"/>
                <wp:effectExtent b="0" l="0" r="0" t="0"/>
                <wp:docPr id="134332596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5015" cy="9203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5"/>
        </w:tcPr>
        <w:p w:rsidR="00000000" w:rsidDel="00000000" w:rsidP="00000000" w:rsidRDefault="00000000" w:rsidRPr="00000000" w14:paraId="00000031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DIT – Diretoria de Tecnologia e Operações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SUOP – Superintendência de Operações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DESO – Departamento de Segurança da Operação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  <w:t xml:space="preserve">DMPR – Divisão de Monit., Prev. e Resposta a Incidente de Segurança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after="140" w:line="288" w:lineRule="auto"/>
            <w:jc w:val="right"/>
            <w:rPr>
              <w:rFonts w:ascii="Arial" w:cs="Arial" w:eastAsia="Arial" w:hAnsi="Arial"/>
              <w:b w:val="0"/>
              <w:i w:val="0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after="14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z w:val="22"/>
              <w:szCs w:val="22"/>
              <w:rtl w:val="0"/>
            </w:rPr>
            <w:t xml:space="preserve">Reporte de Eventos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.0" w:type="dxa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M7NrWYoJA4m94M43nL7iz9NvA==">AMUW2mVvwUdaTAvOHrqYzPNaatW60/zhLL1Ve+VQuNeFH/IbCUXIgpFB2pkqplCo3O8oc/G0idc3T+fq4IECwcppWXiQRaJrC6M4OFw/GV+sYgtzcBD5bsA=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2020-10-08T11:36:48.7643386Z</dcterms:created>
  <dc:creator>Paulo Guilherme Lanzillotti Jannuzzi</dc:creator>
</cp:coreProperties>
</file>