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2460"/>
        <w:gridCol w:w="6566"/>
        <w:tblGridChange w:id="0">
          <w:tblGrid>
            <w:gridCol w:w="2460"/>
            <w:gridCol w:w="6566"/>
          </w:tblGrid>
        </w:tblGridChange>
      </w:tblGrid>
      <w:tr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0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0"/>
                <w:color w:val="ff0000"/>
                <w:sz w:val="21"/>
                <w:szCs w:val="21"/>
                <w:rtl w:val="0"/>
              </w:rPr>
              <w:t xml:space="preserve">Este documento possui dados pessoais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="24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  <w:color w:val="035d9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35d93"/>
                <w:sz w:val="24"/>
                <w:szCs w:val="24"/>
                <w:rtl w:val="0"/>
              </w:rPr>
              <w:t xml:space="preserve">Acessos volumétricos originados do IP 191.235.64.85 direcionados ao vip-pmeuinssprxr.inss.gov.br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Indicadores de Ameaça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i w:val="0"/>
                <w:sz w:val="24"/>
                <w:szCs w:val="24"/>
                <w:rtl w:val="0"/>
              </w:rPr>
              <w:t xml:space="preserve">Informar os indicadores de ameaça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Período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z w:val="24"/>
                <w:szCs w:val="24"/>
                <w:rtl w:val="0"/>
              </w:rPr>
              <w:t xml:space="preserve">Informar data de início/fim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Credenciais envolvidas / Ativos de informações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Credenciais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IPs de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Ferramentas de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4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Possível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="240" w:lineRule="auto"/>
              <w:jc w:val="left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Possível vazamento de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jc w:val="left"/>
              <w:rPr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0"/>
                <w:sz w:val="22"/>
                <w:szCs w:val="22"/>
                <w:rtl w:val="0"/>
              </w:rPr>
              <w:t xml:space="preserve">Contenção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40" w:lineRule="auto"/>
              <w:jc w:val="left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Foi realizado o bloqueio temporário dos endereços no WAF.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18">
            <w:pPr>
              <w:spacing w:after="100" w:before="100" w:line="240" w:lineRule="auto"/>
              <w:jc w:val="center"/>
              <w:rPr>
                <w:i w:val="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rtl w:val="0"/>
              </w:rPr>
              <w:t xml:space="preserve">Evidências/Contexto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jc w:val="center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z w:val="24"/>
                <w:szCs w:val="24"/>
                <w:rtl w:val="0"/>
              </w:rPr>
              <w:t xml:space="preserve">IP de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="240" w:lineRule="auto"/>
              <w:jc w:val="center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i w:val="0"/>
                <w:sz w:val="24"/>
                <w:szCs w:val="24"/>
                <w:rtl w:val="0"/>
              </w:rPr>
              <w:t xml:space="preserve">Evidência do endereço de 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="240" w:lineRule="auto"/>
              <w:jc w:val="center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enderecoOrigem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center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 Aplicação- Consultas/SAT - ELK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0" w:before="100" w:line="240" w:lineRule="auto"/>
              <w:jc w:val="center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i w:val="0"/>
                <w:sz w:val="24"/>
                <w:szCs w:val="24"/>
                <w:rtl w:val="0"/>
              </w:rPr>
              <w:t xml:space="preserve">Verificação da volumetria</w:t>
            </w:r>
          </w:p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figurasSat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 WEB - ELK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0" w:before="1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Volumetria de acessos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="240" w:lineRule="auto"/>
              <w:jc w:val="center"/>
              <w:rPr>
                <w:i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figurasContexto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 GERID - ELK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100" w:before="1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de credenciais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00" w:before="1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gerid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27.0" w:type="dxa"/>
      <w:jc w:val="left"/>
      <w:tblInd w:w="0.0" w:type="dxa"/>
      <w:tblBorders>
        <w:top w:color="b4c6e7" w:space="0" w:sz="4" w:val="single"/>
        <w:left w:color="b4c6e7" w:space="0" w:sz="4" w:val="single"/>
        <w:bottom w:color="b4c6e7" w:space="0" w:sz="4" w:val="single"/>
        <w:right w:color="b4c6e7" w:space="0" w:sz="4" w:val="single"/>
        <w:insideH w:color="b4c6e7" w:space="0" w:sz="4" w:val="single"/>
        <w:insideV w:color="b4c6e7" w:space="0" w:sz="4" w:val="single"/>
      </w:tblBorders>
      <w:tblLayout w:type="fixed"/>
      <w:tblLook w:val="0600"/>
    </w:tblPr>
    <w:tblGrid>
      <w:gridCol w:w="3009"/>
      <w:gridCol w:w="3009"/>
      <w:gridCol w:w="3009"/>
      <w:tblGridChange w:id="0">
        <w:tblGrid>
          <w:gridCol w:w="3009"/>
          <w:gridCol w:w="3009"/>
          <w:gridCol w:w="3009"/>
        </w:tblGrid>
      </w:tblGridChange>
    </w:tblGrid>
    <w:t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024.999999999998" w:type="dxa"/>
      <w:jc w:val="left"/>
      <w:tblInd w:w="0.0" w:type="dxa"/>
      <w:tblBorders>
        <w:top w:color="b4c6e7" w:space="0" w:sz="4" w:val="single"/>
        <w:left w:color="b4c6e7" w:space="0" w:sz="4" w:val="single"/>
        <w:bottom w:color="b4c6e7" w:space="0" w:sz="4" w:val="single"/>
        <w:right w:color="b4c6e7" w:space="0" w:sz="4" w:val="single"/>
        <w:insideH w:color="b4c6e7" w:space="0" w:sz="4" w:val="single"/>
        <w:insideV w:color="b4c6e7" w:space="0" w:sz="4" w:val="single"/>
      </w:tblBorders>
      <w:tblLayout w:type="fixed"/>
      <w:tblLook w:val="0600"/>
    </w:tblPr>
    <w:tblGrid>
      <w:gridCol w:w="2340"/>
      <w:gridCol w:w="315"/>
      <w:gridCol w:w="1274"/>
      <w:gridCol w:w="1274"/>
      <w:gridCol w:w="585"/>
      <w:gridCol w:w="1963"/>
      <w:gridCol w:w="1274"/>
      <w:tblGridChange w:id="0">
        <w:tblGrid>
          <w:gridCol w:w="2340"/>
          <w:gridCol w:w="315"/>
          <w:gridCol w:w="1274"/>
          <w:gridCol w:w="1274"/>
          <w:gridCol w:w="585"/>
          <w:gridCol w:w="1963"/>
          <w:gridCol w:w="1274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d0cece" w:val="clear"/>
          <w:vAlign w:val="center"/>
        </w:tcPr>
        <w:p w:rsidR="00000000" w:rsidDel="00000000" w:rsidP="00000000" w:rsidRDefault="00000000" w:rsidRPr="00000000" w14:paraId="00000035">
          <w:pPr>
            <w:spacing w:after="0" w:before="0" w:line="259" w:lineRule="auto"/>
            <w:ind w:left="0" w:right="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PESSOAL</w:t>
          </w:r>
        </w:p>
      </w:tc>
      <w:tc>
        <w:tcPr/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5015" cy="920345"/>
                <wp:effectExtent b="0" l="0" r="0" t="0"/>
                <wp:docPr id="134332597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015" cy="920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5"/>
        </w:tcPr>
        <w:p w:rsidR="00000000" w:rsidDel="00000000" w:rsidP="00000000" w:rsidRDefault="00000000" w:rsidRPr="00000000" w14:paraId="00000039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DIT – Diretoria de Tecnologia e Operações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SUOP – Superintendência de Operações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DESO – Departamento de Segurança da Operação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DMPR – Divisão de Monit., Prev. e Resposta a Incidente de Segurança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after="140" w:line="288" w:lineRule="auto"/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after="14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z w:val="22"/>
              <w:szCs w:val="22"/>
              <w:rtl w:val="0"/>
            </w:rPr>
            <w:t xml:space="preserve">Reporte de Eventos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.0" w:type="dxa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CO0CkKzp3TSbHHmKG9wMvdcqXg==">AMUW2mUcZKrRbeeewMDkcUBB+YI41WvtiU7k+JNruN32L+BRqfAGn2IiHHfvK3yIrN0yyy+rtxGnXOi78F1cSQvgapQmpiIbJ1yUgdvssKluiL4zMjhgZTU=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2020-10-08T11:36:48.7643386Z</dcterms:created>
  <dc:creator>Paulo Guilherme Lanzillotti Jannuzzi</dc:creator>
</cp:coreProperties>
</file>