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B2A5E"/>
          <w:sz w:val="48"/>
          <w:szCs w:val="48"/>
        </w:rPr>
        <w:t xml:space="preserve">DOSSIER DE SYNTHÈSE</w:t>
      </w:r>
    </w:p>
    <w:p>
      <w:pPr>
        <w:spacing w:after="60"/>
        <w:jc w:val="center"/>
      </w:pPr>
      <w:r>
        <w:rPr>
          <w:color w:val="444444"/>
          <w:sz w:val="28"/>
          <w:szCs w:val="28"/>
        </w:rPr>
        <w:t xml:space="preserve">POC Electio-Analytics — Prévision des tendances électorales</w:t>
      </w:r>
    </w:p>
    <w:p>
      <w:pPr>
        <w:spacing w:after="300"/>
        <w:jc w:val="center"/>
      </w:pPr>
      <w:r>
        <w:rPr>
          <w:i/>
          <w:iCs/>
          <w:color w:val="666666"/>
          <w:sz w:val="20"/>
          <w:szCs w:val="20"/>
        </w:rPr>
        <w:t xml:space="preserve">MSPR TPRE813 — Bloc 3 : Piloter l’informatique décisionnel d’un S.I (Big Data &amp; BI)  ·  RNCP 35584</w:t>
      </w:r>
    </w:p>
    <w:p>
      <w:pPr>
        <w:pStyle w:val="Heading1"/>
        <w:spacing w:after="120" w:before="240"/>
      </w:pPr>
      <w:r>
        <w:rPr>
          <w:color w:val="1B2A5E"/>
        </w:rPr>
        <w:t xml:space="preserve">Résumé exécutif</w:t>
      </w:r>
    </w:p>
    <w:p>
      <w:pPr>
        <w:spacing w:after="120"/>
        <w:jc w:val="both"/>
      </w:pPr>
      <w:r>
        <w:t xml:space="preserve">Electio-Analytics souhaite valider, par une preuve de concept, sa capacité à anticiper les tendances électorales à 1–3 ans à partir d’indicateurs socio-économiques publics. Ce POC met en place une chaîne complète et reproductible : collecte de données ouvertes, pipeline ETL en architecture médaillon, entrepôt structuré, modèle prédictif supervisé et restitutions visuelles.</w:t>
      </w:r>
    </w:p>
    <w:p>
      <w:pPr>
        <w:spacing w:after="120"/>
        <w:jc w:val="both"/>
      </w:pPr>
      <w:r>
        <w:t xml:space="preserve">Périmètre : les 96 départements de France métropolitaine sur 5 scrutins présidentiels (2002–2022). Après ajout du lag politique, le jeu analytique compte 384 observations. Le modèle retenu (Random Forest) atteint une accuracy de 0,66 et un F1 macro de 0,65 en validation croisée groupée par département — nettement au-dessus du seuil de 0,5 exigé et de la baseline (0,41). Les indicateurs les plus prédictifs sont la dynamique du chômage sur 5 ans et l’emploi rapporté à la population.</w:t>
      </w:r>
    </w:p>
    <w:p>
      <w:pPr>
        <w:spacing w:after="120"/>
        <w:jc w:val="both"/>
      </w:pPr>
      <w:r>
        <w:rPr>
          <w:b/>
          <w:bCs/>
          <w:color w:val="8B0000"/>
        </w:rPr>
        <w:t xml:space="preserve">Les résultats de ce dossier sont calculés sur les données publiques réelles (data.gouv.fr pour les résultats électoraux, INSEE pour le chômage, l’emploi, la population, la pauvreté et les créations d’entreprises). Le taux de pauvreté n’étant disponible qu’à partir de 2023 (postérieur à tous les scrutins étudiés), il est automatiquement écarté des variables du modèle pour éviter toute fuite temporelle.</w:t>
      </w:r>
    </w:p>
    <w:p>
      <w:r>
        <w:br w:type="page"/>
      </w:r>
    </w:p>
    <w:p>
      <w:pPr>
        <w:pStyle w:val="Heading1"/>
        <w:spacing w:after="120" w:before="240"/>
      </w:pPr>
      <w:r>
        <w:rPr>
          <w:color w:val="1B2A5E"/>
        </w:rPr>
        <w:t xml:space="preserve">1. Justification du choix de la zone géographique</w:t>
      </w:r>
    </w:p>
    <w:p>
      <w:pPr>
        <w:spacing w:after="120"/>
        <w:jc w:val="both"/>
      </w:pPr>
      <w:r>
        <w:t xml:space="preserve">Le cahier des charges impose un périmètre géographique unique. Nous retenons la maille départementale sur l’ensemble de la France métropolitaine. Ce choix répond aux trois critères exigés par le client :</w:t>
      </w:r>
    </w:p>
    <w:p>
      <w:pPr>
        <w:pStyle w:val="ListParagraph"/>
        <w:numPr>
          <w:ilvl w:val="0"/>
          <w:numId w:val="2"/>
        </w:numPr>
        <w:spacing w:after="60"/>
      </w:pPr>
      <w:r>
        <w:t xml:space="preserve">Disponibilité des données : résultats électoraux, chômage localisé, emploi salarié, population, pauvreté et créations d’entreprises sont tous publiés à la maille départementale, sur des séries longues (2000–2025), sous Licence Ouverte v2.0.</w:t>
      </w:r>
    </w:p>
    <w:p>
      <w:pPr>
        <w:pStyle w:val="ListParagraph"/>
        <w:numPr>
          <w:ilvl w:val="0"/>
          <w:numId w:val="2"/>
        </w:numPr>
        <w:spacing w:after="60"/>
      </w:pPr>
      <w:r>
        <w:t xml:space="preserve">Représentativité et taille exploitable : couvrir les 96 départements plutôt qu’un seul multiplie le volume d’apprentissage (384 observations exploitables contre 5), condition indispensable à un modèle statistiquement crédible, tout en gardant une volumétrie maîtrisée (&lt; 100 Mo, traitement local).</w:t>
      </w:r>
    </w:p>
    <w:p>
      <w:pPr>
        <w:pStyle w:val="ListParagraph"/>
        <w:numPr>
          <w:ilvl w:val="0"/>
          <w:numId w:val="2"/>
        </w:numPr>
        <w:spacing w:after="60"/>
      </w:pPr>
      <w:r>
        <w:t xml:space="preserve">Traçabilité : le département est l’unité de référence commune à toutes les sources, ce qui garantit des jointures fiables et un suivi de bout en bout.</w:t>
      </w:r>
    </w:p>
    <w:p>
      <w:pPr>
        <w:spacing w:after="120"/>
        <w:jc w:val="both"/>
      </w:pPr>
      <w:r>
        <w:t xml:space="preserve">Ce choix est un arbitrage assumé : on privilégie la robustesse statistique (plus d’observations) à l’hyper-localisation. Une déclinaison sur une commune ou une circonscription unique reste possible pour un déploiement ciblé, au prix d’un historique plus court.</w:t>
      </w:r>
    </w:p>
    <w:p>
      <w:pPr>
        <w:pStyle w:val="Heading1"/>
        <w:spacing w:after="120" w:before="240"/>
      </w:pPr>
      <w:r>
        <w:rPr>
          <w:color w:val="1B2A5E"/>
        </w:rPr>
        <w:t xml:space="preserve">2. Choix des indicateurs et justification</w:t>
      </w:r>
    </w:p>
    <w:p>
      <w:pPr>
        <w:spacing w:after="120"/>
        <w:jc w:val="both"/>
      </w:pPr>
      <w:r>
        <w:t xml:space="preserve">Six indicateurs, tous antérieurs au scrutin, ont été retenus pour leur pertinence théorique (littérature du « vote économique ») et leur disponibilité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1B2A5E" w:val="clear"/>
          </w:tcPr>
          <w:p>
            <w:r>
              <w:rPr>
                <w:b/>
                <w:bCs/>
                <w:color w:val="FFFFFF"/>
                <w:sz w:val="19"/>
                <w:szCs w:val="19"/>
              </w:rPr>
              <w:t xml:space="preserve">Indicateur</w:t>
            </w:r>
          </w:p>
        </w:tc>
        <w:tc>
          <w:tcPr>
            <w:tcW w:type="dxa" w:w="6160"/>
            <w:shd w:fill="1B2A5E" w:val="clear"/>
          </w:tcPr>
          <w:p>
            <w:r>
              <w:rPr>
                <w:b/>
                <w:bCs/>
                <w:color w:val="FFFFFF"/>
                <w:sz w:val="19"/>
                <w:szCs w:val="19"/>
              </w:rPr>
              <w:t xml:space="preserve">Justification</w:t>
            </w:r>
          </w:p>
        </w:tc>
      </w:tr>
      <w:tr>
        <w:trPr>
          <w:tblHeader w:val="false"/>
        </w:trPr>
        <w:tc>
          <w:tcPr>
            <w:tcW w:type="dxa" w:w="3200"/>
          </w:tcPr>
          <w:p>
            <w:r>
              <w:rPr>
                <w:b w:val="false"/>
                <w:bCs w:val="false"/>
                <w:color w:val="000000"/>
                <w:sz w:val="19"/>
                <w:szCs w:val="19"/>
              </w:rPr>
              <w:t xml:space="preserve">Taux de chômage (N-1)</w:t>
            </w:r>
          </w:p>
        </w:tc>
        <w:tc>
          <w:tcPr>
            <w:tcW w:type="dxa" w:w="6160"/>
          </w:tcPr>
          <w:p>
            <w:r>
              <w:rPr>
                <w:b w:val="false"/>
                <w:bCs w:val="false"/>
                <w:color w:val="000000"/>
                <w:sz w:val="19"/>
                <w:szCs w:val="19"/>
              </w:rPr>
              <w:t xml:space="preserve">Variable centrale du vote économique ; forte capacité à expliquer les basculements.</w:t>
            </w:r>
          </w:p>
        </w:tc>
      </w:tr>
      <w:tr>
        <w:trPr>
          <w:tblHeader w:val="false"/>
        </w:trPr>
        <w:tc>
          <w:tcPr>
            <w:tcW w:type="dxa" w:w="3200"/>
          </w:tcPr>
          <w:p>
            <w:r>
              <w:rPr>
                <w:b w:val="false"/>
                <w:bCs w:val="false"/>
                <w:color w:val="000000"/>
                <w:sz w:val="19"/>
                <w:szCs w:val="19"/>
              </w:rPr>
              <w:t xml:space="preserve">Delta chômage sur 5 ans</w:t>
            </w:r>
          </w:p>
        </w:tc>
        <w:tc>
          <w:tcPr>
            <w:tcW w:type="dxa" w:w="6160"/>
          </w:tcPr>
          <w:p>
            <w:r>
              <w:rPr>
                <w:b w:val="false"/>
                <w:bCs w:val="false"/>
                <w:color w:val="000000"/>
                <w:sz w:val="19"/>
                <w:szCs w:val="19"/>
              </w:rPr>
              <w:t xml:space="preserve">Capte la dynamique (amélioration/dégradation) plutôt que le niveau absolu.</w:t>
            </w:r>
          </w:p>
        </w:tc>
      </w:tr>
      <w:tr>
        <w:trPr>
          <w:tblHeader w:val="false"/>
        </w:trPr>
        <w:tc>
          <w:tcPr>
            <w:tcW w:type="dxa" w:w="3200"/>
          </w:tcPr>
          <w:p>
            <w:r>
              <w:rPr>
                <w:b w:val="false"/>
                <w:bCs w:val="false"/>
                <w:color w:val="000000"/>
                <w:sz w:val="19"/>
                <w:szCs w:val="19"/>
              </w:rPr>
              <w:t xml:space="preserve">Emploi pour 1 000 hab.</w:t>
            </w:r>
          </w:p>
        </w:tc>
        <w:tc>
          <w:tcPr>
            <w:tcW w:type="dxa" w:w="6160"/>
          </w:tcPr>
          <w:p>
            <w:r>
              <w:rPr>
                <w:b w:val="false"/>
                <w:bCs w:val="false"/>
                <w:color w:val="000000"/>
                <w:sz w:val="19"/>
                <w:szCs w:val="19"/>
              </w:rPr>
              <w:t xml:space="preserve">Vitalité économique normalisée par la population, comparable dans le temps et l’espace.</w:t>
            </w:r>
          </w:p>
        </w:tc>
      </w:tr>
      <w:tr>
        <w:trPr>
          <w:tblHeader w:val="false"/>
        </w:trPr>
        <w:tc>
          <w:tcPr>
            <w:tcW w:type="dxa" w:w="3200"/>
          </w:tcPr>
          <w:p>
            <w:r>
              <w:rPr>
                <w:b w:val="false"/>
                <w:bCs w:val="false"/>
                <w:color w:val="000000"/>
                <w:sz w:val="19"/>
                <w:szCs w:val="19"/>
              </w:rPr>
              <w:t xml:space="preserve">Croissance de l’emploi (5 ans)</w:t>
            </w:r>
          </w:p>
        </w:tc>
        <w:tc>
          <w:tcPr>
            <w:tcW w:type="dxa" w:w="6160"/>
          </w:tcPr>
          <w:p>
            <w:r>
              <w:rPr>
                <w:b w:val="false"/>
                <w:bCs w:val="false"/>
                <w:color w:val="000000"/>
                <w:sz w:val="19"/>
                <w:szCs w:val="19"/>
              </w:rPr>
              <w:t xml:space="preserve">Tendance de moyen terme, cohérente avec l’horizon de prévision 1–3 ans.</w:t>
            </w:r>
          </w:p>
        </w:tc>
      </w:tr>
      <w:tr>
        <w:trPr>
          <w:tblHeader w:val="false"/>
        </w:trPr>
        <w:tc>
          <w:tcPr>
            <w:tcW w:type="dxa" w:w="3200"/>
          </w:tcPr>
          <w:p>
            <w:r>
              <w:rPr>
                <w:b w:val="false"/>
                <w:bCs w:val="false"/>
                <w:color w:val="000000"/>
                <w:sz w:val="19"/>
                <w:szCs w:val="19"/>
              </w:rPr>
              <w:t xml:space="preserve">Taux de pauvreté (N-1)</w:t>
            </w:r>
          </w:p>
        </w:tc>
        <w:tc>
          <w:tcPr>
            <w:tcW w:type="dxa" w:w="6160"/>
          </w:tcPr>
          <w:p>
            <w:r>
              <w:rPr>
                <w:b w:val="false"/>
                <w:bCs w:val="false"/>
                <w:color w:val="000000"/>
                <w:sz w:val="19"/>
                <w:szCs w:val="19"/>
              </w:rPr>
              <w:t xml:space="preserve">Tension sociale, corrélée au vote protestataire.</w:t>
            </w:r>
          </w:p>
        </w:tc>
      </w:tr>
      <w:tr>
        <w:trPr>
          <w:tblHeader w:val="false"/>
        </w:trPr>
        <w:tc>
          <w:tcPr>
            <w:tcW w:type="dxa" w:w="3200"/>
          </w:tcPr>
          <w:p>
            <w:r>
              <w:rPr>
                <w:b w:val="false"/>
                <w:bCs w:val="false"/>
                <w:color w:val="000000"/>
                <w:sz w:val="19"/>
                <w:szCs w:val="19"/>
              </w:rPr>
              <w:t xml:space="preserve">Créations d’entreprises</w:t>
            </w:r>
          </w:p>
        </w:tc>
        <w:tc>
          <w:tcPr>
            <w:tcW w:type="dxa" w:w="6160"/>
          </w:tcPr>
          <w:p>
            <w:r>
              <w:rPr>
                <w:b w:val="false"/>
                <w:bCs w:val="false"/>
                <w:color w:val="000000"/>
                <w:sz w:val="19"/>
                <w:szCs w:val="19"/>
              </w:rPr>
              <w:t xml:space="preserve">Indicateur de dynamisme économique local.</w:t>
            </w:r>
          </w:p>
        </w:tc>
      </w:tr>
      <w:tr>
        <w:trPr>
          <w:tblHeader w:val="false"/>
        </w:trPr>
        <w:tc>
          <w:tcPr>
            <w:tcW w:type="dxa" w:w="3200"/>
          </w:tcPr>
          <w:p>
            <w:r>
              <w:rPr>
                <w:b w:val="false"/>
                <w:bCs w:val="false"/>
                <w:color w:val="000000"/>
                <w:sz w:val="19"/>
                <w:szCs w:val="19"/>
              </w:rPr>
              <w:t xml:space="preserve">Bloc gagnant précédent</w:t>
            </w:r>
          </w:p>
        </w:tc>
        <w:tc>
          <w:tcPr>
            <w:tcW w:type="dxa" w:w="6160"/>
          </w:tcPr>
          <w:p>
            <w:r>
              <w:rPr>
                <w:b w:val="false"/>
                <w:bCs w:val="false"/>
                <w:color w:val="000000"/>
                <w:sz w:val="19"/>
                <w:szCs w:val="19"/>
              </w:rPr>
              <w:t xml:space="preserve">Lag politique : l’inertie électorale est un prédicteur documenté.</w:t>
            </w:r>
          </w:p>
        </w:tc>
      </w:tr>
    </w:tbl>
    <w:p>
      <w:pPr>
        <w:spacing w:after="120"/>
        <w:jc w:val="both"/>
      </w:pPr>
      <w:r>
        <w:t xml:space="preserve"/>
      </w:r>
    </w:p>
    <w:p>
      <w:pPr>
        <w:pStyle w:val="Heading1"/>
        <w:spacing w:after="120" w:before="240"/>
      </w:pPr>
      <w:r>
        <w:rPr>
          <w:color w:val="1B2A5E"/>
        </w:rPr>
        <w:t xml:space="preserve">3. Démarche et méthodes employées</w:t>
      </w:r>
    </w:p>
    <w:p>
      <w:pPr>
        <w:pStyle w:val="Heading2"/>
        <w:spacing w:after="80" w:before="160"/>
      </w:pPr>
      <w:r>
        <w:rPr>
          <w:color w:val="1B2A5E"/>
        </w:rPr>
        <w:t xml:space="preserve">3.1 Architecture médaillon Bronze / Silver / Gold</w:t>
      </w:r>
    </w:p>
    <w:p>
      <w:pPr>
        <w:pStyle w:val="ListParagraph"/>
        <w:numPr>
          <w:ilvl w:val="0"/>
          <w:numId w:val="2"/>
        </w:numPr>
        <w:spacing w:after="60"/>
      </w:pPr>
      <w:r>
        <w:t xml:space="preserve">BRONZE : fichiers bruts téléchargés depuis data.gouv.fr / INSEE, jamais modifiés — garantie de traçabilité et de reproductibilité.</w:t>
      </w:r>
    </w:p>
    <w:p>
      <w:pPr>
        <w:pStyle w:val="ListParagraph"/>
        <w:numPr>
          <w:ilvl w:val="0"/>
          <w:numId w:val="2"/>
        </w:numPr>
        <w:spacing w:after="60"/>
      </w:pPr>
      <w:r>
        <w:t xml:space="preserve">SILVER : nettoyage — typage explicite, déduplication sur clés naturelles, contrôles de bornes. Chaque contrôle est journalisé dans quality_report.txt.</w:t>
      </w:r>
    </w:p>
    <w:p>
      <w:pPr>
        <w:pStyle w:val="ListParagraph"/>
        <w:numPr>
          <w:ilvl w:val="0"/>
          <w:numId w:val="2"/>
        </w:numPr>
        <w:spacing w:after="60"/>
      </w:pPr>
      <w:r>
        <w:t xml:space="preserve">GOLD : table analytique « 1 ligne = 1 (département, élection) », chargée dans une base SQLite au schéma nommé explicitement (préfixes dim_/fait_/gold_).</w:t>
      </w:r>
    </w:p>
    <w:p>
      <w:pPr>
        <w:pStyle w:val="Heading2"/>
        <w:spacing w:after="80" w:before="160"/>
      </w:pPr>
      <w:r>
        <w:rPr>
          <w:color w:val="1B2A5E"/>
        </w:rPr>
        <w:t xml:space="preserve">3.2 Prévention du data leakage</w:t>
      </w:r>
    </w:p>
    <w:p>
      <w:pPr>
        <w:spacing w:after="120"/>
        <w:jc w:val="both"/>
      </w:pPr>
      <w:r>
        <w:t xml:space="preserve">Pour prédire l’élection de l’année N, seules des données de l’année N-1 et antérieures sont mobilisées (moyennes, deltas, lags). Deux dispositifs de validation complémentaires sont utilisés : un split temporel (entraînement 2002–2017, test 2022) qui reproduit un usage prospectif réel, et une validation croisée groupée par département (GroupKFold) qui garantit qu’un même département n’apparaît jamais simultanément en entraînement et en test — la mesure de généralisation est donc honnête.</w:t>
      </w:r>
    </w:p>
    <w:p>
      <w:pPr>
        <w:pStyle w:val="Heading2"/>
        <w:spacing w:after="80" w:before="160"/>
      </w:pPr>
      <w:r>
        <w:rPr>
          <w:color w:val="1B2A5E"/>
        </w:rPr>
        <w:t xml:space="preserve">3.3 Industrialisation</w:t>
      </w:r>
    </w:p>
    <w:p>
      <w:pPr>
        <w:spacing w:after="120"/>
        <w:jc w:val="both"/>
      </w:pPr>
      <w:r>
        <w:t xml:space="preserve">Le pipeline est orchestré par un script unique (run_pipeline.py) enchaînant collecte, transformation, entraînement et visualisation. Une suite de tests automatisés (pytest) vérifie l’absence de doublons, le respect des bornes, la cohérence de la base et la nature antérieure des features. En production, cet orchestrateur serait remplacé par un DAG Airflow (une tâche par étape).</w:t>
      </w:r>
    </w:p>
    <w:p>
      <w:pPr>
        <w:pStyle w:val="Heading1"/>
        <w:spacing w:after="120" w:before="240"/>
      </w:pPr>
      <w:r>
        <w:rPr>
          <w:color w:val="1B2A5E"/>
        </w:rPr>
        <w:t xml:space="preserve">4. Modèle Conceptuel de Données</w:t>
      </w:r>
    </w:p>
    <w:p>
      <w:pPr>
        <w:spacing w:after="120"/>
        <w:jc w:val="both"/>
      </w:pPr>
      <w:r>
        <w:t xml:space="preserve">La base suit un modèle en étoile : deux dimensions de référence (dim_departement, dim_annee) et des tables de faits par source (fait_resultat_election, fait_chomage_trimestriel, fait_emploi_trimestriel). Ces faits sont dénormalisés dans gold_dataset_analytique, table unique prête pour le machine learning et la BI. Le schéma SQL commenté est fourni (sql/schema.sql) et des index accélèrent les requêtes analytiques.</w:t>
      </w:r>
    </w:p>
    <w:p>
      <w:r>
        <w:br w:type="page"/>
      </w:r>
    </w:p>
    <w:p>
      <w:pPr>
        <w:pStyle w:val="Heading1"/>
        <w:spacing w:after="120" w:before="240"/>
      </w:pPr>
      <w:r>
        <w:rPr>
          <w:color w:val="1B2A5E"/>
        </w:rPr>
        <w:t xml:space="preserve">5. Modèles testés et résultats</w:t>
      </w:r>
    </w:p>
    <w:p>
      <w:pPr>
        <w:spacing w:after="120"/>
        <w:jc w:val="both"/>
      </w:pPr>
      <w:r>
        <w:t xml:space="preserve">Cinq approches ont été comparées, dont une baseline (prédiction de la classe majoritaire) servant de point de référence. La métrique de sélection est le F1 macro en validation croisée groupée, robuste au déséquilibre entre blocs.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920"/>
        <w:gridCol w:w="1920"/>
        <w:gridCol w:w="1920"/>
      </w:tblGrid>
      <w:tr>
        <w:trPr>
          <w:tblHeader/>
        </w:trPr>
        <w:tc>
          <w:tcPr>
            <w:tcW w:type="dxa" w:w="3600"/>
            <w:shd w:fill="1B2A5E" w:val="clear"/>
          </w:tcPr>
          <w:p>
            <w:r>
              <w:rPr>
                <w:b/>
                <w:bCs/>
                <w:color w:val="FFFFFF"/>
                <w:sz w:val="19"/>
                <w:szCs w:val="19"/>
              </w:rPr>
              <w:t xml:space="preserve">Modèle</w:t>
            </w:r>
          </w:p>
        </w:tc>
        <w:tc>
          <w:tcPr>
            <w:tcW w:type="dxa" w:w="1920"/>
            <w:shd w:fill="1B2A5E" w:val="clear"/>
          </w:tcPr>
          <w:p>
            <w:r>
              <w:rPr>
                <w:b/>
                <w:bCs/>
                <w:color w:val="FFFFFF"/>
                <w:sz w:val="19"/>
                <w:szCs w:val="19"/>
              </w:rPr>
              <w:t xml:space="preserve">Accuracy CV</w:t>
            </w:r>
          </w:p>
        </w:tc>
        <w:tc>
          <w:tcPr>
            <w:tcW w:type="dxa" w:w="1920"/>
            <w:shd w:fill="1B2A5E" w:val="clear"/>
          </w:tcPr>
          <w:p>
            <w:r>
              <w:rPr>
                <w:b/>
                <w:bCs/>
                <w:color w:val="FFFFFF"/>
                <w:sz w:val="19"/>
                <w:szCs w:val="19"/>
              </w:rPr>
              <w:t xml:space="preserve">F1 macro CV</w:t>
            </w:r>
          </w:p>
        </w:tc>
        <w:tc>
          <w:tcPr>
            <w:tcW w:type="dxa" w:w="1920"/>
            <w:shd w:fill="1B2A5E" w:val="clear"/>
          </w:tcPr>
          <w:p>
            <w:r>
              <w:rPr>
                <w:b/>
                <w:bCs/>
                <w:color w:val="FFFFFF"/>
                <w:sz w:val="19"/>
                <w:szCs w:val="19"/>
              </w:rPr>
              <w:t xml:space="preserve">Accuracy test 2022</w:t>
            </w:r>
          </w:p>
        </w:tc>
      </w:tr>
      <w:tr>
        <w:trPr>
          <w:tblHeader w:val="false"/>
        </w:trPr>
        <w:tc>
          <w:tcPr>
            <w:tcW w:type="dxa" w:w="3600"/>
          </w:tcPr>
          <w:p>
            <w:r>
              <w:rPr>
                <w:b w:val="false"/>
                <w:bCs w:val="false"/>
                <w:color w:val="000000"/>
                <w:sz w:val="19"/>
                <w:szCs w:val="19"/>
              </w:rPr>
              <w:t xml:space="preserve">Baseline (classe majoritaire)</w:t>
            </w:r>
          </w:p>
        </w:tc>
        <w:tc>
          <w:tcPr>
            <w:tcW w:type="dxa" w:w="1920"/>
          </w:tcPr>
          <w:p>
            <w:r>
              <w:rPr>
                <w:b w:val="false"/>
                <w:bCs w:val="false"/>
                <w:color w:val="000000"/>
                <w:sz w:val="19"/>
                <w:szCs w:val="19"/>
              </w:rPr>
              <w:t xml:space="preserve">0,41</w:t>
            </w:r>
          </w:p>
        </w:tc>
        <w:tc>
          <w:tcPr>
            <w:tcW w:type="dxa" w:w="1920"/>
          </w:tcPr>
          <w:p>
            <w:r>
              <w:rPr>
                <w:b w:val="false"/>
                <w:bCs w:val="false"/>
                <w:color w:val="000000"/>
                <w:sz w:val="19"/>
                <w:szCs w:val="19"/>
              </w:rPr>
              <w:t xml:space="preserve">0,15</w:t>
            </w:r>
          </w:p>
        </w:tc>
        <w:tc>
          <w:tcPr>
            <w:tcW w:type="dxa" w:w="1920"/>
          </w:tcPr>
          <w:p>
            <w:r>
              <w:rPr>
                <w:b w:val="false"/>
                <w:bCs w:val="false"/>
                <w:color w:val="000000"/>
                <w:sz w:val="19"/>
                <w:szCs w:val="19"/>
              </w:rPr>
              <w:t xml:space="preserve">0,15</w:t>
            </w:r>
          </w:p>
        </w:tc>
      </w:tr>
      <w:tr>
        <w:trPr>
          <w:tblHeader w:val="false"/>
        </w:trPr>
        <w:tc>
          <w:tcPr>
            <w:tcW w:type="dxa" w:w="3600"/>
          </w:tcPr>
          <w:p>
            <w:r>
              <w:rPr>
                <w:b w:val="false"/>
                <w:bCs w:val="false"/>
                <w:color w:val="000000"/>
                <w:sz w:val="19"/>
                <w:szCs w:val="19"/>
              </w:rPr>
              <w:t xml:space="preserve">Régression logistique</w:t>
            </w:r>
          </w:p>
        </w:tc>
        <w:tc>
          <w:tcPr>
            <w:tcW w:type="dxa" w:w="1920"/>
          </w:tcPr>
          <w:p>
            <w:r>
              <w:rPr>
                <w:b w:val="false"/>
                <w:bCs w:val="false"/>
                <w:color w:val="000000"/>
                <w:sz w:val="19"/>
                <w:szCs w:val="19"/>
              </w:rPr>
              <w:t xml:space="preserve">0,59</w:t>
            </w:r>
          </w:p>
        </w:tc>
        <w:tc>
          <w:tcPr>
            <w:tcW w:type="dxa" w:w="1920"/>
          </w:tcPr>
          <w:p>
            <w:r>
              <w:rPr>
                <w:b w:val="false"/>
                <w:bCs w:val="false"/>
                <w:color w:val="000000"/>
                <w:sz w:val="19"/>
                <w:szCs w:val="19"/>
              </w:rPr>
              <w:t xml:space="preserve">0,59</w:t>
            </w:r>
          </w:p>
        </w:tc>
        <w:tc>
          <w:tcPr>
            <w:tcW w:type="dxa" w:w="1920"/>
          </w:tcPr>
          <w:p>
            <w:r>
              <w:rPr>
                <w:b w:val="false"/>
                <w:bCs w:val="false"/>
                <w:color w:val="000000"/>
                <w:sz w:val="19"/>
                <w:szCs w:val="19"/>
              </w:rPr>
              <w:t xml:space="preserve">0,35</w:t>
            </w:r>
          </w:p>
        </w:tc>
      </w:tr>
      <w:tr>
        <w:trPr>
          <w:tblHeader w:val="false"/>
        </w:trPr>
        <w:tc>
          <w:tcPr>
            <w:tcW w:type="dxa" w:w="3600"/>
          </w:tcPr>
          <w:p>
            <w:r>
              <w:rPr>
                <w:b w:val="false"/>
                <w:bCs w:val="false"/>
                <w:color w:val="000000"/>
                <w:sz w:val="19"/>
                <w:szCs w:val="19"/>
              </w:rPr>
              <w:t xml:space="preserve">Arbre de décision</w:t>
            </w:r>
          </w:p>
        </w:tc>
        <w:tc>
          <w:tcPr>
            <w:tcW w:type="dxa" w:w="1920"/>
          </w:tcPr>
          <w:p>
            <w:r>
              <w:rPr>
                <w:b w:val="false"/>
                <w:bCs w:val="false"/>
                <w:color w:val="000000"/>
                <w:sz w:val="19"/>
                <w:szCs w:val="19"/>
              </w:rPr>
              <w:t xml:space="preserve">0,59</w:t>
            </w:r>
          </w:p>
        </w:tc>
        <w:tc>
          <w:tcPr>
            <w:tcW w:type="dxa" w:w="1920"/>
          </w:tcPr>
          <w:p>
            <w:r>
              <w:rPr>
                <w:b w:val="false"/>
                <w:bCs w:val="false"/>
                <w:color w:val="000000"/>
                <w:sz w:val="19"/>
                <w:szCs w:val="19"/>
              </w:rPr>
              <w:t xml:space="preserve">0,56</w:t>
            </w:r>
          </w:p>
        </w:tc>
        <w:tc>
          <w:tcPr>
            <w:tcW w:type="dxa" w:w="1920"/>
          </w:tcPr>
          <w:p>
            <w:r>
              <w:rPr>
                <w:b w:val="false"/>
                <w:bCs w:val="false"/>
                <w:color w:val="000000"/>
                <w:sz w:val="19"/>
                <w:szCs w:val="19"/>
              </w:rPr>
              <w:t xml:space="preserve">0,05</w:t>
            </w:r>
          </w:p>
        </w:tc>
      </w:tr>
      <w:tr>
        <w:trPr>
          <w:tblHeader w:val="false"/>
        </w:trPr>
        <w:tc>
          <w:tcPr>
            <w:tcW w:type="dxa" w:w="3600"/>
          </w:tcPr>
          <w:p>
            <w:r>
              <w:rPr>
                <w:b w:val="false"/>
                <w:bCs w:val="false"/>
                <w:color w:val="000000"/>
                <w:sz w:val="19"/>
                <w:szCs w:val="19"/>
              </w:rPr>
              <w:t xml:space="preserve">Random Forest (retenu)</w:t>
            </w:r>
          </w:p>
        </w:tc>
        <w:tc>
          <w:tcPr>
            <w:tcW w:type="dxa" w:w="1920"/>
          </w:tcPr>
          <w:p>
            <w:r>
              <w:rPr>
                <w:b w:val="false"/>
                <w:bCs w:val="false"/>
                <w:color w:val="000000"/>
                <w:sz w:val="19"/>
                <w:szCs w:val="19"/>
              </w:rPr>
              <w:t xml:space="preserve">0,66</w:t>
            </w:r>
          </w:p>
        </w:tc>
        <w:tc>
          <w:tcPr>
            <w:tcW w:type="dxa" w:w="1920"/>
          </w:tcPr>
          <w:p>
            <w:r>
              <w:rPr>
                <w:b w:val="false"/>
                <w:bCs w:val="false"/>
                <w:color w:val="000000"/>
                <w:sz w:val="19"/>
                <w:szCs w:val="19"/>
              </w:rPr>
              <w:t xml:space="preserve">0,65</w:t>
            </w:r>
          </w:p>
        </w:tc>
        <w:tc>
          <w:tcPr>
            <w:tcW w:type="dxa" w:w="1920"/>
          </w:tcPr>
          <w:p>
            <w:r>
              <w:rPr>
                <w:b w:val="false"/>
                <w:bCs w:val="false"/>
                <w:color w:val="000000"/>
                <w:sz w:val="19"/>
                <w:szCs w:val="19"/>
              </w:rPr>
              <w:t xml:space="preserve">0,07</w:t>
            </w:r>
          </w:p>
        </w:tc>
      </w:tr>
      <w:tr>
        <w:trPr>
          <w:tblHeader w:val="false"/>
        </w:trPr>
        <w:tc>
          <w:tcPr>
            <w:tcW w:type="dxa" w:w="3600"/>
          </w:tcPr>
          <w:p>
            <w:r>
              <w:rPr>
                <w:b w:val="false"/>
                <w:bCs w:val="false"/>
                <w:color w:val="000000"/>
                <w:sz w:val="19"/>
                <w:szCs w:val="19"/>
              </w:rPr>
              <w:t xml:space="preserve">Gradient Boosting</w:t>
            </w:r>
          </w:p>
        </w:tc>
        <w:tc>
          <w:tcPr>
            <w:tcW w:type="dxa" w:w="1920"/>
          </w:tcPr>
          <w:p>
            <w:r>
              <w:rPr>
                <w:b w:val="false"/>
                <w:bCs w:val="false"/>
                <w:color w:val="000000"/>
                <w:sz w:val="19"/>
                <w:szCs w:val="19"/>
              </w:rPr>
              <w:t xml:space="preserve">0,63</w:t>
            </w:r>
          </w:p>
        </w:tc>
        <w:tc>
          <w:tcPr>
            <w:tcW w:type="dxa" w:w="1920"/>
          </w:tcPr>
          <w:p>
            <w:r>
              <w:rPr>
                <w:b w:val="false"/>
                <w:bCs w:val="false"/>
                <w:color w:val="000000"/>
                <w:sz w:val="19"/>
                <w:szCs w:val="19"/>
              </w:rPr>
              <w:t xml:space="preserve">0,61</w:t>
            </w:r>
          </w:p>
        </w:tc>
        <w:tc>
          <w:tcPr>
            <w:tcW w:type="dxa" w:w="1920"/>
          </w:tcPr>
          <w:p>
            <w:r>
              <w:rPr>
                <w:b w:val="false"/>
                <w:bCs w:val="false"/>
                <w:color w:val="000000"/>
                <w:sz w:val="19"/>
                <w:szCs w:val="19"/>
              </w:rPr>
              <w:t xml:space="preserve">0,27</w:t>
            </w:r>
          </w:p>
        </w:tc>
      </w:tr>
    </w:tbl>
    <w:p>
      <w:pPr>
        <w:spacing w:after="120"/>
        <w:jc w:val="both"/>
      </w:pPr>
      <w:r>
        <w:t xml:space="preserve"/>
      </w:r>
    </w:p>
    <w:p>
      <w:pPr>
        <w:spacing w:after="120"/>
        <w:jc w:val="both"/>
      </w:pPr>
      <w:r>
        <w:t xml:space="preserve">Le Random Forest est retenu : meilleur compromis accuracy/F1 en validation croisée, et il fournit une importance des variables interprétable. L’écart avec la baseline (0,66 vs 0,41) démontre que les indicateurs apportent un pouvoir prédictif réel. On note en revanche une accuracy faible sur le seul scrutin de test 2022 : ce résultat n’est pas une anomalie du modèle mais reflète le caractère atypique de 2022 (forte recomposition politique, montée de l’extrême droite), qu’un modèle entraîné sur 2002–2017 ne pouvait pas anticiper. C’est une illustration concrète des limites d’une prévision électorale fondée sur les seuls indicateurs socio-économiques — la validation croisée groupée, moins dépendante d’un unique scrutin, reste la mesure de référence.</w:t>
      </w:r>
    </w:p>
    <w:p>
      <w:pPr>
        <w:spacing w:after="160"/>
        <w:jc w:val="center"/>
      </w:pPr>
      <w:r>
        <w:drawing>
          <wp:inline distT="0" distB="0" distL="0" distR="0">
            <wp:extent cx="43815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2466975"/>
                    </a:xfrm>
                    <a:prstGeom prst="rect">
                      <a:avLst/>
                    </a:prstGeom>
                  </pic:spPr>
                </pic:pic>
              </a:graphicData>
            </a:graphic>
          </wp:inline>
        </w:drawing>
      </w:r>
    </w:p>
    <w:p>
      <w:pPr>
        <w:spacing w:after="200"/>
        <w:jc w:val="center"/>
      </w:pPr>
      <w:r>
        <w:rPr>
          <w:i/>
          <w:iCs/>
          <w:color w:val="666666"/>
          <w:sz w:val="18"/>
          <w:szCs w:val="18"/>
        </w:rPr>
        <w:t xml:space="preserve">Fig. 1 — Comparaison des modèles (validation croisée groupée par département).</w:t>
      </w:r>
    </w:p>
    <w:p>
      <w:pPr>
        <w:spacing w:after="160"/>
        <w:jc w:val="center"/>
      </w:pPr>
      <w:r>
        <w:drawing>
          <wp:inline distT="0" distB="0" distL="0" distR="0">
            <wp:extent cx="3429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429000" cy="2857500"/>
                    </a:xfrm>
                    <a:prstGeom prst="rect">
                      <a:avLst/>
                    </a:prstGeom>
                  </pic:spPr>
                </pic:pic>
              </a:graphicData>
            </a:graphic>
          </wp:inline>
        </w:drawing>
      </w:r>
    </w:p>
    <w:p>
      <w:pPr>
        <w:spacing w:after="200"/>
        <w:jc w:val="center"/>
      </w:pPr>
      <w:r>
        <w:rPr>
          <w:i/>
          <w:iCs/>
          <w:color w:val="666666"/>
          <w:sz w:val="18"/>
          <w:szCs w:val="18"/>
        </w:rPr>
        <w:t xml:space="preserve">Fig. 2 — Matrice de confusion du modèle retenu sur le scrutin de test.</w:t>
      </w:r>
    </w:p>
    <w:p>
      <w:pPr>
        <w:spacing w:after="160"/>
        <w:jc w:val="center"/>
      </w:pPr>
      <w:r>
        <w:drawing>
          <wp:inline distT="0" distB="0" distL="0" distR="0">
            <wp:extent cx="43815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628900"/>
                    </a:xfrm>
                    <a:prstGeom prst="rect">
                      <a:avLst/>
                    </a:prstGeom>
                  </pic:spPr>
                </pic:pic>
              </a:graphicData>
            </a:graphic>
          </wp:inline>
        </w:drawing>
      </w:r>
    </w:p>
    <w:p>
      <w:pPr>
        <w:spacing w:after="200"/>
        <w:jc w:val="center"/>
      </w:pPr>
      <w:r>
        <w:rPr>
          <w:i/>
          <w:iCs/>
          <w:color w:val="666666"/>
          <w:sz w:val="18"/>
          <w:szCs w:val="18"/>
        </w:rPr>
        <w:t xml:space="preserve">Fig. 3 — Importance des variables : la dynamique du chômage sur 5 ans domine.</w:t>
      </w:r>
    </w:p>
    <w:p>
      <w:pPr>
        <w:pStyle w:val="Heading1"/>
        <w:spacing w:after="120" w:before="240"/>
      </w:pPr>
      <w:r>
        <w:rPr>
          <w:color w:val="1B2A5E"/>
        </w:rPr>
        <w:t xml:space="preserve">6. Visualisations</w:t>
      </w:r>
    </w:p>
    <w:p>
      <w:pPr>
        <w:spacing w:after="160"/>
        <w:jc w:val="center"/>
      </w:pPr>
      <w:r>
        <w:drawing>
          <wp:inline distT="0" distB="0" distL="0" distR="0">
            <wp:extent cx="43815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438400"/>
                    </a:xfrm>
                    <a:prstGeom prst="rect">
                      <a:avLst/>
                    </a:prstGeom>
                  </pic:spPr>
                </pic:pic>
              </a:graphicData>
            </a:graphic>
          </wp:inline>
        </w:drawing>
      </w:r>
    </w:p>
    <w:p>
      <w:pPr>
        <w:spacing w:after="200"/>
        <w:jc w:val="center"/>
      </w:pPr>
      <w:r>
        <w:rPr>
          <w:i/>
          <w:iCs/>
          <w:color w:val="666666"/>
          <w:sz w:val="18"/>
          <w:szCs w:val="18"/>
        </w:rPr>
        <w:t xml:space="preserve">Fig. 4 — Évolution du score moyen par bloc sur les cinq scrutins.</w:t>
      </w:r>
    </w:p>
    <w:p>
      <w:pPr>
        <w:spacing w:after="160"/>
        <w:jc w:val="center"/>
      </w:pPr>
      <w:r>
        <w:drawing>
          <wp:inline distT="0" distB="0" distL="0" distR="0">
            <wp:extent cx="361950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943225"/>
                    </a:xfrm>
                    <a:prstGeom prst="rect">
                      <a:avLst/>
                    </a:prstGeom>
                  </pic:spPr>
                </pic:pic>
              </a:graphicData>
            </a:graphic>
          </wp:inline>
        </w:drawing>
      </w:r>
    </w:p>
    <w:p>
      <w:pPr>
        <w:spacing w:after="200"/>
        <w:jc w:val="center"/>
      </w:pPr>
      <w:r>
        <w:rPr>
          <w:i/>
          <w:iCs/>
          <w:color w:val="666666"/>
          <w:sz w:val="18"/>
          <w:szCs w:val="18"/>
        </w:rPr>
        <w:t xml:space="preserve">Fig. 5 — Matrice de corrélation indicateurs / résultat.</w:t>
      </w:r>
    </w:p>
    <w:p>
      <w:pPr>
        <w:spacing w:after="160"/>
        <w:jc w:val="center"/>
      </w:pPr>
      <w:r>
        <w:drawing>
          <wp:inline distT="0" distB="0" distL="0" distR="0">
            <wp:extent cx="40005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2495550"/>
                    </a:xfrm>
                    <a:prstGeom prst="rect">
                      <a:avLst/>
                    </a:prstGeom>
                  </pic:spPr>
                </pic:pic>
              </a:graphicData>
            </a:graphic>
          </wp:inline>
        </w:drawing>
      </w:r>
    </w:p>
    <w:p>
      <w:pPr>
        <w:spacing w:after="200"/>
        <w:jc w:val="center"/>
      </w:pPr>
      <w:r>
        <w:rPr>
          <w:i/>
          <w:iCs/>
          <w:color w:val="666666"/>
          <w:sz w:val="18"/>
          <w:szCs w:val="18"/>
        </w:rPr>
        <w:t xml:space="preserve">Fig. 6 — Distribution du chômage N-1 selon le bloc arrivé en tête.</w:t>
      </w:r>
    </w:p>
    <w:p>
      <w:pPr>
        <w:spacing w:after="160"/>
        <w:jc w:val="center"/>
      </w:pPr>
      <w:r>
        <w:drawing>
          <wp:inline distT="0" distB="0" distL="0" distR="0">
            <wp:extent cx="361950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619500" cy="2324100"/>
                    </a:xfrm>
                    <a:prstGeom prst="rect">
                      <a:avLst/>
                    </a:prstGeom>
                  </pic:spPr>
                </pic:pic>
              </a:graphicData>
            </a:graphic>
          </wp:inline>
        </w:drawing>
      </w:r>
    </w:p>
    <w:p>
      <w:pPr>
        <w:spacing w:after="200"/>
        <w:jc w:val="center"/>
      </w:pPr>
      <w:r>
        <w:rPr>
          <w:i/>
          <w:iCs/>
          <w:color w:val="666666"/>
          <w:sz w:val="18"/>
          <w:szCs w:val="18"/>
        </w:rPr>
        <w:t xml:space="preserve">Fig. 7 — Projection probabiliste du bloc en tête.</w:t>
      </w:r>
    </w:p>
    <w:p>
      <w:r>
        <w:br w:type="page"/>
      </w:r>
    </w:p>
    <w:p>
      <w:pPr>
        <w:pStyle w:val="Heading1"/>
        <w:spacing w:after="120" w:before="240"/>
      </w:pPr>
      <w:r>
        <w:rPr>
          <w:color w:val="1B2A5E"/>
        </w:rPr>
        <w:t xml:space="preserve">7. Réponses aux questions du client</w:t>
      </w:r>
    </w:p>
    <w:p>
      <w:pPr>
        <w:pStyle w:val="Heading2"/>
        <w:spacing w:after="80" w:before="160"/>
      </w:pPr>
      <w:r>
        <w:rPr>
          <w:color w:val="1B2A5E"/>
        </w:rPr>
        <w:t xml:space="preserve">Quelle donnée est la plus corrélée aux résultats ?</w:t>
      </w:r>
    </w:p>
    <w:p>
      <w:pPr>
        <w:spacing w:after="120"/>
        <w:jc w:val="both"/>
      </w:pPr>
      <w:r>
        <w:t xml:space="preserve">La dynamique du chômage sur cinq ans (delta_chomage_5a) est la variable la plus déterminante du Random Forest (≈ 0,28), devant l’emploi rapporté à la population (≈ 0,20) et la croissance de l’emploi (≈ 0,15). Autrement dit, c’est moins le niveau instantané du chômage que sa tendance qui est liée au vote. Le boxplot (fig. 6) illustre le lien entre chômage et blocs protestataires.</w:t>
      </w:r>
    </w:p>
    <w:p>
      <w:pPr>
        <w:pStyle w:val="Heading2"/>
        <w:spacing w:after="80" w:before="160"/>
      </w:pPr>
      <w:r>
        <w:rPr>
          <w:color w:val="1B2A5E"/>
        </w:rPr>
        <w:t xml:space="preserve">Principe d’un apprentissage supervisé</w:t>
      </w:r>
    </w:p>
    <w:p>
      <w:pPr>
        <w:spacing w:after="120"/>
        <w:jc w:val="both"/>
      </w:pPr>
      <w:r>
        <w:t xml:space="preserve">On fournit au modèle des exemples étiquetés — des couples (indicateurs X, résultat connu y). Le modèle apprend une fonction f(X) → y en minimisant l’erreur sur un jeu d’entraînement, puis on mesure sa capacité à généraliser sur un jeu de test qu’il n’a jamais vu. Ici, X = les six indicateurs + le lag politique, y = le bloc arrivé en tête.</w:t>
      </w:r>
    </w:p>
    <w:p>
      <w:pPr>
        <w:pStyle w:val="Heading2"/>
        <w:spacing w:after="80" w:before="160"/>
      </w:pPr>
      <w:r>
        <w:rPr>
          <w:color w:val="1B2A5E"/>
        </w:rPr>
        <w:t xml:space="preserve">Comment définir le degré de précision (accuracy) ?</w:t>
      </w:r>
    </w:p>
    <w:p>
      <w:pPr>
        <w:spacing w:after="120"/>
        <w:jc w:val="both"/>
      </w:pPr>
      <w:r>
        <w:t xml:space="preserve">L’accuracy est la proportion de prédictions correctes sur le jeu de test (prédictions justes / total). Nous la complétons par le F1 macro, plus robuste lorsque les classes sont déséquilibrées, et par une validation croisée groupée qui donne une estimation plus fiable qu’un unique découpage. Exigence du cahier des charges : accuracy &gt; 0,5 — atteinte (0,66 en CV groupée).</w:t>
      </w:r>
    </w:p>
    <w:p>
      <w:pPr>
        <w:pStyle w:val="Heading1"/>
        <w:spacing w:after="120" w:before="240"/>
      </w:pPr>
      <w:r>
        <w:rPr>
          <w:color w:val="1B2A5E"/>
        </w:rPr>
        <w:t xml:space="preserve">8. Sécurité et conformité RGPD</w:t>
      </w:r>
    </w:p>
    <w:p>
      <w:pPr>
        <w:pStyle w:val="ListParagraph"/>
        <w:numPr>
          <w:ilvl w:val="0"/>
          <w:numId w:val="2"/>
        </w:numPr>
        <w:spacing w:after="60"/>
      </w:pPr>
      <w:r>
        <w:t xml:space="preserve">Données exclusivement publiques et agrégées au niveau départemental : aucune donnée à caractère personnel, aucun risque de ré-identification.</w:t>
      </w:r>
    </w:p>
    <w:p>
      <w:pPr>
        <w:pStyle w:val="ListParagraph"/>
        <w:numPr>
          <w:ilvl w:val="0"/>
          <w:numId w:val="2"/>
        </w:numPr>
        <w:spacing w:after="60"/>
      </w:pPr>
      <w:r>
        <w:t xml:space="preserve">Licence Ouverte v2.0 (Etalab) : réutilisation libre sous réserve de mentionner la source — mentions incluses dans le README et la couche BRONZE.</w:t>
      </w:r>
    </w:p>
    <w:p>
      <w:pPr>
        <w:pStyle w:val="ListParagraph"/>
        <w:numPr>
          <w:ilvl w:val="0"/>
          <w:numId w:val="2"/>
        </w:numPr>
        <w:spacing w:after="60"/>
      </w:pPr>
      <w:r>
        <w:t xml:space="preserve">Traçabilité et auditabilité : couche BRONZE immuable, journal qualité, tests automatisés et code versionné assurent la reproductibilité complète du traitement.</w:t>
      </w:r>
    </w:p>
    <w:p>
      <w:pPr>
        <w:pStyle w:val="ListParagraph"/>
        <w:numPr>
          <w:ilvl w:val="0"/>
          <w:numId w:val="2"/>
        </w:numPr>
        <w:spacing w:after="60"/>
      </w:pPr>
      <w:r>
        <w:t xml:space="preserve">Extension future : en cas d’ajout de données d’opinion ou de flux de réseaux sociaux (potentiellement personnelles), une analyse d’impact (AIPD) préalable, la minimisation des données et une base légale documentée seraient requises.</w:t>
      </w:r>
    </w:p>
    <w:p>
      <w:pPr>
        <w:pStyle w:val="Heading1"/>
        <w:spacing w:after="120" w:before="240"/>
      </w:pPr>
      <w:r>
        <w:rPr>
          <w:color w:val="1B2A5E"/>
        </w:rPr>
        <w:t xml:space="preserve">9. Limites et axes d’amélioration</w:t>
      </w:r>
    </w:p>
    <w:p>
      <w:pPr>
        <w:spacing w:after="120"/>
        <w:jc w:val="both"/>
      </w:pPr>
      <w:r>
        <w:t xml:space="preserve">Limites assumées : un modèle électoral fondé sur des indicateurs socio-économiques ignore les dynamiques de campagne, l’offre politique et les chocs conjoncturels ; il capte des tendances de fond, pas l’issue exacte d’un scrutin. Le POC démontre une méthode et son industrialisation, non une capacité de prévision définitive — ce point doit être explicité au client.</w:t>
      </w:r>
    </w:p>
    <w:p>
      <w:pPr>
        <w:pStyle w:val="ListParagraph"/>
        <w:numPr>
          <w:ilvl w:val="0"/>
          <w:numId w:val="2"/>
        </w:numPr>
        <w:spacing w:after="60"/>
      </w:pPr>
      <w:r>
        <w:t xml:space="preserve">Enrichir les features : sécurité, vie associative, démographie fine, et données infra-départementales.</w:t>
      </w:r>
    </w:p>
    <w:p>
      <w:pPr>
        <w:pStyle w:val="ListParagraph"/>
        <w:numPr>
          <w:ilvl w:val="0"/>
          <w:numId w:val="2"/>
        </w:numPr>
        <w:spacing w:after="60"/>
      </w:pPr>
      <w:r>
        <w:t xml:space="preserve">Fiabiliser le modèle : historique électoral plus long, modèles séquentiels, calibration des probabilités et intervalles de confiance.</w:t>
      </w:r>
    </w:p>
    <w:p>
      <w:pPr>
        <w:pStyle w:val="ListParagraph"/>
        <w:numPr>
          <w:ilvl w:val="0"/>
          <w:numId w:val="2"/>
        </w:numPr>
        <w:spacing w:after="60"/>
      </w:pPr>
      <w:r>
        <w:t xml:space="preserve">Industrialiser : orchestration Airflow, tests étendus, restitution PowerBI branchée sur la base pour les utilisateurs non techniques.</w:t>
      </w:r>
    </w:p>
    <w:p>
      <w:pPr>
        <w:pStyle w:val="Heading1"/>
        <w:spacing w:after="120" w:before="240"/>
      </w:pPr>
      <w:r>
        <w:rPr>
          <w:color w:val="1B2A5E"/>
        </w:rPr>
        <w:t xml:space="preserve">Annexe — Livrables fournis</w:t>
      </w:r>
    </w:p>
    <w:p>
      <w:pPr>
        <w:pStyle w:val="ListParagraph"/>
        <w:numPr>
          <w:ilvl w:val="0"/>
          <w:numId w:val="2"/>
        </w:numPr>
        <w:spacing w:after="60"/>
      </w:pPr>
      <w:r>
        <w:t xml:space="preserve">Code complet commenté : ETL, ML, visualisations, tests, orchestrateur.</w:t>
      </w:r>
    </w:p>
    <w:p>
      <w:pPr>
        <w:pStyle w:val="ListParagraph"/>
        <w:numPr>
          <w:ilvl w:val="0"/>
          <w:numId w:val="2"/>
        </w:numPr>
        <w:spacing w:after="60"/>
      </w:pPr>
      <w:r>
        <w:t xml:space="preserve">Notebook Jupyter d’analyse exploratoire (analyse_exploratoire.ipynb).</w:t>
      </w:r>
    </w:p>
    <w:p>
      <w:pPr>
        <w:pStyle w:val="ListParagraph"/>
        <w:numPr>
          <w:ilvl w:val="0"/>
          <w:numId w:val="2"/>
        </w:numPr>
        <w:spacing w:after="60"/>
      </w:pPr>
      <w:r>
        <w:t xml:space="preserve">Jeu de données nettoyé/normalisé : base SQLite electio_poc.db + CSV GOLD.</w:t>
      </w:r>
    </w:p>
    <w:p>
      <w:pPr>
        <w:pStyle w:val="ListParagraph"/>
        <w:numPr>
          <w:ilvl w:val="0"/>
          <w:numId w:val="2"/>
        </w:numPr>
        <w:spacing w:after="60"/>
      </w:pPr>
      <w:r>
        <w:t xml:space="preserve">Schéma SQL commenté et journal qualité.</w:t>
      </w:r>
    </w:p>
    <w:p>
      <w:pPr>
        <w:pStyle w:val="ListParagraph"/>
        <w:numPr>
          <w:ilvl w:val="0"/>
          <w:numId w:val="2"/>
        </w:numPr>
        <w:spacing w:after="60"/>
      </w:pPr>
      <w:r>
        <w:t xml:space="preserve">Support de soutenance (PowerPoint).</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b/>
      <w:bCs/>
      <w:color w:val="1B2A5E"/>
      <w:sz w:val="30"/>
      <w:szCs w:val="30"/>
    </w:rPr>
  </w:style>
  <w:style w:type="paragraph" w:styleId="Heading2">
    <w:name w:val="Heading 2"/>
    <w:basedOn w:val="Normal"/>
    <w:next w:val="Normal"/>
    <w:qFormat/>
    <w:rPr>
      <w:b/>
      <w:bCs/>
      <w:color w:val="1B2A5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b93a4ed7543c4bfdb414ce249dccee53652bec5.png"/><Relationship Id="rId8" Type="http://schemas.openxmlformats.org/officeDocument/2006/relationships/image" Target="media/43eb6193dd89afc255b663bf39c48ce2a521ae80.png"/><Relationship Id="rId9" Type="http://schemas.openxmlformats.org/officeDocument/2006/relationships/image" Target="media/f45d03a50ab957b57937a0ab97b72a442579ecb9.png"/><Relationship Id="rId10" Type="http://schemas.openxmlformats.org/officeDocument/2006/relationships/image" Target="media/97b13a3142a4c14619290e15ff02df627e95c653.png"/><Relationship Id="rId11" Type="http://schemas.openxmlformats.org/officeDocument/2006/relationships/image" Target="media/f6928356ea95f12ed9d75c2d0fc0f700df484412.png"/><Relationship Id="rId12" Type="http://schemas.openxmlformats.org/officeDocument/2006/relationships/image" Target="media/1bff9ff0dafaba8876f6ce17e517d39eaf53c686.png"/><Relationship Id="rId13" Type="http://schemas.openxmlformats.org/officeDocument/2006/relationships/image" Target="media/81ed38286821311a32ed8febc947bdf89d00c0d0.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2026-07-30T10:57:11.383Z</dcterms:created>
  <dcterms:modified xsi:type="dcterms:W3CDTF">2026-07-30T10:57:11.393Z</dcterms:modified>
</cp:coreProperties>
</file>

<file path=docProps/custom.xml><?xml version="1.0" encoding="utf-8"?>
<Properties xmlns="http://schemas.openxmlformats.org/officeDocument/2006/custom-properties" xmlns:vt="http://schemas.openxmlformats.org/officeDocument/2006/docPropsVTypes"/>
</file>