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 w:val="0"/>
          <w:color w:val="595959"/>
          <w:sz w:val="18"/>
        </w:rPr>
        <w:t>Ciclo do Negócio de Cibersegurança</w:t>
      </w:r>
    </w:p>
    <w:p>
      <w:pPr>
        <w:spacing w:before="0" w:after="40"/>
      </w:pPr>
      <w:r>
        <w:rPr>
          <w:b/>
          <w:color w:val="1F4E79"/>
          <w:sz w:val="32"/>
        </w:rPr>
        <w:t>Ficha de Trabalho — Módulo 4</w:t>
      </w:r>
    </w:p>
    <w:p>
      <w:pPr>
        <w:spacing w:before="0" w:after="200"/>
      </w:pPr>
      <w:r>
        <w:rPr>
          <w:b w:val="0"/>
          <w:color w:val="595959"/>
          <w:sz w:val="21"/>
        </w:rPr>
        <w:t>Caso InterMed: avaliação de terceiros críticos (exercício 5) e security by design (exercício 6)</w:t>
      </w:r>
    </w:p>
    <w:p>
      <w:pPr>
        <w:spacing w:before="0" w:after="200"/>
      </w:pPr>
      <w:r>
        <w:rPr>
          <w:b/>
        </w:rPr>
        <w:t>Nome / Grupo:  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</w:tcPr>
          <w:p>
            <w:r>
              <w:rPr>
                <w:b/>
              </w:rPr>
              <w:t>Instruções</w:t>
            </w:r>
          </w:p>
          <w:p>
            <w:r>
              <w:t>1. Baseia-te no PDF do caso (exercícios 5 e 6) disponível na página do Módulo 4.</w:t>
            </w:r>
          </w:p>
          <w:p>
            <w:r>
              <w:t>2. A Parte A trabalha-se em grupos durante a aula; a Parte B pode ser concluída individualmente.</w:t>
            </w:r>
          </w:p>
          <w:p>
            <w:r>
              <w:t>3. Usa os instrumentos do site como apoio: Questionário de Due Diligence, Cláusulas Contratuais, Avaliação de Maturidade TPRM e SCA Framework.</w:t>
            </w:r>
          </w:p>
          <w:p>
            <w:r>
              <w:t>4. Guarda a ficha preenchida — será discutida em aula.</w:t>
            </w:r>
          </w:p>
        </w:tc>
      </w:tr>
    </w:tbl>
    <w:p/>
    <w:p>
      <w:pPr>
        <w:pStyle w:val="Heading2"/>
      </w:pPr>
      <w:r>
        <w:rPr>
          <w:color w:val="1F4E79"/>
        </w:rPr>
        <w:t>Parte A — Avaliação de terceiros críticos (exercício 5)</w:t>
      </w:r>
    </w:p>
    <w:p>
      <w:pPr>
        <w:spacing w:before="0" w:after="120"/>
      </w:pPr>
      <w:r>
        <w:rPr>
          <w:b w:val="0"/>
          <w:color w:val="595959"/>
          <w:sz w:val="19"/>
        </w:rPr>
        <w:t>A InterMed identificou três terceiros prioritários: o fornecedor do DCE, o cloud provider do portal/app e o fornecedor de faturação eletrónica. Antes de avaliar os fornecedores, avalia a própria InterMed enquanto cliente que gere risco de terceiros.</w:t>
      </w:r>
    </w:p>
    <w:p>
      <w:pPr>
        <w:spacing w:before="120" w:after="120"/>
      </w:pPr>
      <w:r>
        <w:rPr>
          <w:b/>
        </w:rPr>
        <w:t>A.1 — Nível de maturidade atual da InterMed na avaliação de terceiros</w:t>
      </w:r>
    </w:p>
    <w:p>
      <w:pPr>
        <w:spacing w:before="0" w:after="120"/>
      </w:pPr>
      <w:r>
        <w:rPr>
          <w:b w:val="0"/>
          <w:color w:val="595959"/>
          <w:sz w:val="18"/>
        </w:rPr>
        <w:t>Escala do caso: 1 Inexistente · 2 Inicial · 3 Básico · 4 Intermédio · 5 Avançado. Justifica cada nível com evidência do texto.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</w:tcPr>
          <w:p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3240"/>
          </w:tcPr>
          <w:p>
            <w:r>
              <w:rPr>
                <w:b/>
                <w:sz w:val="18"/>
              </w:rPr>
              <w:t>Nível (1–5)</w:t>
            </w:r>
          </w:p>
        </w:tc>
        <w:tc>
          <w:tcPr>
            <w:tcW w:type="dxa" w:w="3240"/>
          </w:tcPr>
          <w:p>
            <w:r>
              <w:rPr>
                <w:b/>
                <w:sz w:val="18"/>
              </w:rPr>
              <w:t>Evidências / observações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Política e governação de terceiros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Processo de avaliação e due diligence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Diretório / inventário de fornecedores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Criticidade e classificação de terceiros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Cláusulas contratuais de segurança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Monitorização contínua e reavaliação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Integração com gestão do risco (ERM/NIS2)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0" w:after="120"/>
      </w:pPr>
      <w:r>
        <w:rPr>
          <w:b/>
        </w:rPr>
        <w:t>A.2 — Evidências existentes vs. lacunas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</w:tcPr>
          <w:p>
            <w:r>
              <w:rPr>
                <w:b/>
                <w:sz w:val="18"/>
              </w:rPr>
              <w:t>Área</w:t>
            </w:r>
          </w:p>
        </w:tc>
        <w:tc>
          <w:tcPr>
            <w:tcW w:type="dxa" w:w="3240"/>
          </w:tcPr>
          <w:p>
            <w:r>
              <w:rPr>
                <w:b/>
                <w:sz w:val="18"/>
              </w:rPr>
              <w:t>Evidência existente</w:t>
            </w:r>
          </w:p>
        </w:tc>
        <w:tc>
          <w:tcPr>
            <w:tcW w:type="dxa" w:w="3240"/>
          </w:tcPr>
          <w:p>
            <w:r>
              <w:rPr>
                <w:b/>
                <w:sz w:val="18"/>
              </w:rPr>
              <w:t>Lacuna identificada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Política / normas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Contratos / SLAs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Registo de fornecedores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Registos de avaliações passadas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Registos de incidentes com terceiros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0" w:after="120"/>
      </w:pPr>
      <w:r>
        <w:rPr>
          <w:b/>
        </w:rPr>
        <w:t>A.3 — Que evidências pedirias a cada fornecedor crítico? (três por fornecedor, com o porquê)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</w:tcPr>
          <w:p>
            <w:r>
              <w:rPr>
                <w:b/>
                <w:sz w:val="18"/>
              </w:rPr>
              <w:t>Fornecedor</w:t>
            </w:r>
          </w:p>
        </w:tc>
        <w:tc>
          <w:tcPr>
            <w:tcW w:type="dxa" w:w="3240"/>
          </w:tcPr>
          <w:p>
            <w:r>
              <w:rPr>
                <w:b/>
                <w:sz w:val="18"/>
              </w:rPr>
              <w:t>Evidências prioritárias a pedir</w:t>
            </w:r>
          </w:p>
        </w:tc>
        <w:tc>
          <w:tcPr>
            <w:tcW w:type="dxa" w:w="3240"/>
          </w:tcPr>
          <w:p>
            <w:r>
              <w:rPr>
                <w:b/>
                <w:sz w:val="18"/>
              </w:rPr>
              <w:t>Porquê (risco que trata)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Fornecedor do DCE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Cloud provider do portal/app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Faturação eletrónica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  <w:tc>
          <w:tcPr>
            <w:tcW w:type="dxa" w:w="324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Parte B — Security by design na nova aplicação (exercício 6)</w:t>
      </w:r>
    </w:p>
    <w:p>
      <w:pPr>
        <w:spacing w:before="0" w:after="120"/>
      </w:pPr>
      <w:r>
        <w:rPr>
          <w:b w:val="0"/>
          <w:color w:val="595959"/>
          <w:sz w:val="19"/>
        </w:rPr>
        <w:t>A nova app (web + mobile) vai processar dados de saúde, com forte pressão de prazo e a convicção de que a segurança «afina-se mais tarde». Identifica as falhas antes que vão para produção.</w:t>
      </w:r>
    </w:p>
    <w:p>
      <w:pPr>
        <w:spacing w:before="0" w:after="120"/>
      </w:pPr>
      <w:r>
        <w:rPr>
          <w:b/>
        </w:rPr>
        <w:t>B.1 — Falha → risco → controlo → prioridade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</w:tcPr>
          <w:p>
            <w:r>
              <w:rPr>
                <w:b/>
                <w:sz w:val="18"/>
              </w:rPr>
              <w:t>Falha identificada</w:t>
            </w:r>
          </w:p>
        </w:tc>
        <w:tc>
          <w:tcPr>
            <w:tcW w:type="dxa" w:w="2430"/>
          </w:tcPr>
          <w:p>
            <w:r>
              <w:rPr>
                <w:b/>
                <w:sz w:val="18"/>
              </w:rPr>
              <w:t>Risco associado</w:t>
            </w:r>
          </w:p>
        </w:tc>
        <w:tc>
          <w:tcPr>
            <w:tcW w:type="dxa" w:w="2430"/>
          </w:tcPr>
          <w:p>
            <w:r>
              <w:rPr>
                <w:b/>
                <w:sz w:val="18"/>
              </w:rPr>
              <w:t>Controlo recomendado</w:t>
            </w:r>
          </w:p>
        </w:tc>
        <w:tc>
          <w:tcPr>
            <w:tcW w:type="dxa" w:w="2430"/>
          </w:tcPr>
          <w:p>
            <w:r>
              <w:rPr>
                <w:b/>
                <w:sz w:val="18"/>
              </w:rPr>
              <w:t>Prioridade</w:t>
            </w:r>
          </w:p>
        </w:tc>
      </w:tr>
      <w:tr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  <w:tr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  <w:tr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  <w:tr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  <w:tr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  <w:tr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</w:tbl>
    <w:p/>
    <w:p>
      <w:pPr>
        <w:spacing w:before="0" w:after="120"/>
      </w:pPr>
      <w:r>
        <w:rPr>
          <w:b/>
        </w:rPr>
        <w:t>B.2 — Se só pudesses exigir TRÊS controlos ao fornecedor de desenvolvimento antes de continuar, quais — e como verificarias cada um? (3–4 linhas)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200" w:after="120"/>
      </w:pPr>
      <w:r>
        <w:rPr>
          <w:b w:val="0"/>
          <w:color w:val="595959"/>
          <w:sz w:val="18"/>
        </w:rPr>
        <w:t>Template pedagógico da formação Ciclo do Negócio de Cibersegurança (C-Academy · CNCS).</w:t>
      </w:r>
    </w:p>
    <w:sectPr w:rsidR="00FC693F" w:rsidRPr="0006063C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