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438F6" w14:textId="77777777" w:rsidR="00BF0272" w:rsidRDefault="00BF0272">
      <w:pPr>
        <w:spacing w:after="400"/>
      </w:pPr>
    </w:p>
    <w:p w14:paraId="15EA39EB" w14:textId="77777777" w:rsidR="00BF0272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9CA3AF"/>
          <w:sz w:val="22"/>
          <w:szCs w:val="22"/>
        </w:rPr>
        <w:t>[Nome da organização]</w:t>
      </w:r>
    </w:p>
    <w:p w14:paraId="55BCAC49" w14:textId="77777777" w:rsidR="00BF0272" w:rsidRDefault="00000000">
      <w:pPr>
        <w:spacing w:after="300"/>
        <w:jc w:val="center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Plano de resposta a incidentes de 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cibersegurança</w:t>
      </w:r>
      <w:proofErr w:type="spellEnd"/>
    </w:p>
    <w:p w14:paraId="422A4409" w14:textId="77777777" w:rsidR="00BF0272" w:rsidRDefault="00000000">
      <w:pPr>
        <w:spacing w:after="1200"/>
        <w:jc w:val="center"/>
      </w:pPr>
      <w:r>
        <w:rPr>
          <w:rFonts w:ascii="Calibri" w:eastAsia="Calibri" w:hAnsi="Calibri" w:cs="Calibri"/>
          <w:color w:val="374151"/>
          <w:sz w:val="22"/>
          <w:szCs w:val="22"/>
        </w:rPr>
        <w:t>Conformidade com o Decreto-Lei n.º 125/2025 (NIS2)</w:t>
      </w:r>
    </w:p>
    <w:p w14:paraId="6A80ED1A" w14:textId="77777777" w:rsidR="00BF0272" w:rsidRDefault="00000000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374151"/>
          <w:sz w:val="22"/>
          <w:szCs w:val="22"/>
        </w:rPr>
        <w:t xml:space="preserve">Versão: </w:t>
      </w:r>
      <w:r>
        <w:rPr>
          <w:rFonts w:ascii="Calibri" w:eastAsia="Calibri" w:hAnsi="Calibri" w:cs="Calibri"/>
          <w:color w:val="374151"/>
          <w:sz w:val="22"/>
          <w:szCs w:val="22"/>
        </w:rPr>
        <w:t>1.0</w:t>
      </w:r>
    </w:p>
    <w:p w14:paraId="6F14E47F" w14:textId="77777777" w:rsidR="00BF0272" w:rsidRDefault="00000000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374151"/>
          <w:sz w:val="22"/>
          <w:szCs w:val="22"/>
        </w:rPr>
        <w:t xml:space="preserve">Data: </w:t>
      </w:r>
      <w:r>
        <w:rPr>
          <w:rFonts w:ascii="Calibri" w:eastAsia="Calibri" w:hAnsi="Calibri" w:cs="Calibri"/>
          <w:color w:val="374151"/>
          <w:sz w:val="22"/>
          <w:szCs w:val="22"/>
        </w:rPr>
        <w:t>18/03/2026</w:t>
      </w:r>
    </w:p>
    <w:p w14:paraId="0F8EC51D" w14:textId="77777777" w:rsidR="00BF0272" w:rsidRDefault="00000000">
      <w:pPr>
        <w:spacing w:after="400"/>
        <w:jc w:val="center"/>
      </w:pPr>
      <w:r>
        <w:rPr>
          <w:rFonts w:ascii="Calibri" w:eastAsia="Calibri" w:hAnsi="Calibri" w:cs="Calibri"/>
          <w:b/>
          <w:bCs/>
          <w:color w:val="374151"/>
          <w:sz w:val="22"/>
          <w:szCs w:val="22"/>
        </w:rPr>
        <w:t xml:space="preserve">Classificação: </w:t>
      </w:r>
      <w:r>
        <w:rPr>
          <w:rFonts w:ascii="Calibri" w:eastAsia="Calibri" w:hAnsi="Calibri" w:cs="Calibri"/>
          <w:b/>
          <w:bCs/>
          <w:color w:val="DC2626"/>
          <w:sz w:val="22"/>
          <w:szCs w:val="22"/>
        </w:rPr>
        <w:t>Confidencial</w:t>
      </w:r>
    </w:p>
    <w:p w14:paraId="732CAF71" w14:textId="77777777" w:rsidR="00BF0272" w:rsidRDefault="00000000">
      <w:r>
        <w:br w:type="page"/>
      </w:r>
    </w:p>
    <w:p w14:paraId="14536DF3" w14:textId="77777777" w:rsidR="00BF0272" w:rsidRDefault="00000000">
      <w:pPr>
        <w:pStyle w:val="Ttulo2"/>
        <w:spacing w:before="320" w:after="160"/>
      </w:pPr>
      <w:bookmarkStart w:id="0" w:name="_Toc235727993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Controlo de versões</w:t>
      </w:r>
      <w:bookmarkEnd w:id="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4"/>
        <w:gridCol w:w="959"/>
        <w:gridCol w:w="1408"/>
        <w:gridCol w:w="2551"/>
        <w:gridCol w:w="2714"/>
      </w:tblGrid>
      <w:tr w:rsidR="00BF0272" w14:paraId="2E9D26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8A" w:fill="auto"/>
            <w:vAlign w:val="center"/>
          </w:tcPr>
          <w:p w14:paraId="5FADCC55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Versão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2984B68A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635BA7EB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Autor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4E45CFC4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Alterações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67407388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Aprovado por</w:t>
            </w:r>
          </w:p>
        </w:tc>
      </w:tr>
      <w:tr w:rsidR="00BF0272" w14:paraId="4E35BB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E3DD9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1.0</w:t>
            </w:r>
          </w:p>
        </w:tc>
        <w:tc>
          <w:tcPr>
            <w:tcW w:w="0" w:type="auto"/>
          </w:tcPr>
          <w:p w14:paraId="09B84418" w14:textId="77777777" w:rsidR="00BF0272" w:rsidRDefault="00BF0272"/>
        </w:tc>
        <w:tc>
          <w:tcPr>
            <w:tcW w:w="0" w:type="auto"/>
          </w:tcPr>
          <w:p w14:paraId="7D19119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[Autor]</w:t>
            </w:r>
          </w:p>
        </w:tc>
        <w:tc>
          <w:tcPr>
            <w:tcW w:w="0" w:type="auto"/>
          </w:tcPr>
          <w:p w14:paraId="45C431D5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Versão inicial</w:t>
            </w:r>
          </w:p>
        </w:tc>
        <w:tc>
          <w:tcPr>
            <w:tcW w:w="0" w:type="auto"/>
          </w:tcPr>
          <w:p w14:paraId="12B894EB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[Aprovador]</w:t>
            </w:r>
          </w:p>
        </w:tc>
      </w:tr>
    </w:tbl>
    <w:p w14:paraId="7E6196E7" w14:textId="77777777" w:rsidR="00BF0272" w:rsidRDefault="00000000">
      <w:r>
        <w:br w:type="page"/>
      </w:r>
    </w:p>
    <w:p w14:paraId="00E71DFF" w14:textId="77777777" w:rsidR="00BF0272" w:rsidRDefault="00000000">
      <w:pPr>
        <w:pStyle w:val="Ttulo2"/>
        <w:spacing w:before="320" w:after="160"/>
      </w:pPr>
      <w:bookmarkStart w:id="1" w:name="_Toc235727994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Índice</w:t>
      </w:r>
      <w:bookmarkEnd w:id="1"/>
    </w:p>
    <w:sdt>
      <w:sdtPr>
        <w:alias w:val="Índice"/>
        <w:id w:val="-1314171354"/>
      </w:sdtPr>
      <w:sdtContent>
        <w:p w14:paraId="3D767FB3" w14:textId="77777777" w:rsidR="004528F4" w:rsidRDefault="00000000">
          <w:pPr>
            <w:pStyle w:val="ndice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 \t "undefined,1,undefined,2,undefined,3"</w:instrText>
          </w:r>
          <w:r>
            <w:fldChar w:fldCharType="separate"/>
          </w:r>
          <w:hyperlink w:anchor="_Toc235727993" w:history="1">
            <w:r w:rsidR="004528F4"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Controlo de versões</w:t>
            </w:r>
            <w:r w:rsidR="004528F4">
              <w:rPr>
                <w:noProof/>
              </w:rPr>
              <w:tab/>
            </w:r>
            <w:r w:rsidR="004528F4">
              <w:rPr>
                <w:noProof/>
              </w:rPr>
              <w:fldChar w:fldCharType="begin"/>
            </w:r>
            <w:r w:rsidR="004528F4">
              <w:rPr>
                <w:noProof/>
              </w:rPr>
              <w:instrText xml:space="preserve"> PAGEREF _Toc235727993 \h </w:instrText>
            </w:r>
            <w:r w:rsidR="004528F4">
              <w:rPr>
                <w:noProof/>
              </w:rPr>
            </w:r>
            <w:r w:rsidR="004528F4">
              <w:rPr>
                <w:noProof/>
              </w:rPr>
              <w:fldChar w:fldCharType="separate"/>
            </w:r>
            <w:r w:rsidR="004528F4">
              <w:rPr>
                <w:noProof/>
              </w:rPr>
              <w:t>1</w:t>
            </w:r>
            <w:r w:rsidR="004528F4">
              <w:rPr>
                <w:noProof/>
              </w:rPr>
              <w:fldChar w:fldCharType="end"/>
            </w:r>
          </w:hyperlink>
        </w:p>
        <w:p w14:paraId="060DDB7C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7994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A9E0BD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7995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1. Objetivo e âmbito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1F9171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7996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2. Enquadramento legal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1B93A2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7997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3. Classificação de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FBAA28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7998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3.1. Taxonomia de tipos de incidente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BBA77C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7999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4. Estrutura de resposta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15098E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0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4.1. Composição da equipa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1C4755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1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4.2. Contactos da equipa de resposta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E94AF1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02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 Fases de resposta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ECC8D4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3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5.1. Preparação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E15F95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4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5.2. Deteção e análise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1CA68E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5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5.3. Contenção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2E5DBE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6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5.4. Erradicação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CF18CA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7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5.5. Recuperação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F6E442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08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5.6. Lições aprendidas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9FA0F4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09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6. Prazos de notificação ao CNCS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E767A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10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 Playbooks por tipo de incidente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43E4E4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1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7.1. Ransomware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B0A5A4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2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7.2. Negação de serviço (DDoS)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CF61DD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3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7.3. Fuga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EA3A99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4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7.4. Ameaça interna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D6B4DC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5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7.5. Comprometimento da cadeia de abastecimento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E51505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16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8. Comunicação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642408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7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8.1. Comunicação interna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C6F7C2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8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8.2. Comunicação com autoridades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1BB7CD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19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8.3. Comunicação pública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6703B8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0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8.4. Comunicação com destinatários dos serviços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069849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21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9. Preservação de evidências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0D1EAF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22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10. Testes e exercícios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5EE448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3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10.1. Tipos de exercícios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688DA6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4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10.2. Frequência e documentação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0EFDF0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25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11.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30917D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6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Anexo A: Contactos CNCS / CERT.PT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4A562E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7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Anexo B: Referência ao template de notificação ao CNCS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D90086" w14:textId="77777777" w:rsidR="004528F4" w:rsidRDefault="004528F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35728028" w:history="1">
            <w:r w:rsidRPr="009B4EF4">
              <w:rPr>
                <w:rStyle w:val="Hiperligao"/>
                <w:rFonts w:ascii="Calibri" w:eastAsia="Calibri" w:hAnsi="Calibri" w:cs="Calibri"/>
                <w:b/>
                <w:bCs/>
                <w:noProof/>
              </w:rPr>
              <w:t>Anexo C: Checklist de resposta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F5D80B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29" w:history="1">
            <w:r w:rsidRPr="009B4EF4">
              <w:rPr>
                <w:rStyle w:val="Hiperligao"/>
                <w:b/>
                <w:noProof/>
              </w:rPr>
              <w:t>Contexto de ameaças e regulação — atualização 2025-2026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6DDCC8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30" w:history="1">
            <w:r w:rsidRPr="009B4EF4">
              <w:rPr>
                <w:rStyle w:val="Hiperligao"/>
                <w:b/>
                <w:noProof/>
              </w:rPr>
              <w:t>12. Aprovação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BBED1A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31" w:history="1">
            <w:r w:rsidRPr="009B4EF4">
              <w:rPr>
                <w:rStyle w:val="Hiperligao"/>
                <w:b/>
                <w:noProof/>
              </w:rPr>
              <w:t>13. 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83CF72" w14:textId="77777777" w:rsidR="004528F4" w:rsidRDefault="004528F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35728032" w:history="1">
            <w:r w:rsidRPr="009B4EF4">
              <w:rPr>
                <w:rStyle w:val="Hiperligao"/>
                <w:b/>
                <w:noProof/>
              </w:rPr>
              <w:t>14. Referências a outros templates NIS2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_Toc235728032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BA0974" w14:textId="77777777" w:rsidR="00BF0272" w:rsidRDefault="00000000">
          <w:r>
            <w:fldChar w:fldCharType="end"/>
          </w:r>
        </w:p>
      </w:sdtContent>
    </w:sdt>
    <w:p w14:paraId="2F097418" w14:textId="77777777" w:rsidR="00BF0272" w:rsidRDefault="00000000">
      <w:r>
        <w:br w:type="page"/>
      </w:r>
    </w:p>
    <w:p w14:paraId="18B7851A" w14:textId="77777777" w:rsidR="00BF0272" w:rsidRDefault="00000000">
      <w:pPr>
        <w:pStyle w:val="Ttulo1"/>
        <w:spacing w:before="400" w:after="200"/>
      </w:pPr>
      <w:bookmarkStart w:id="2" w:name="_Toc235727995"/>
      <w:r>
        <w:rPr>
          <w:rFonts w:ascii="Calibri" w:eastAsia="Calibri" w:hAnsi="Calibri" w:cs="Calibri"/>
          <w:b/>
          <w:bCs/>
          <w:color w:val="1E3A8A"/>
        </w:rPr>
        <w:lastRenderedPageBreak/>
        <w:t>1. Objetivo e âmbito</w:t>
      </w:r>
      <w:bookmarkEnd w:id="2"/>
    </w:p>
    <w:p w14:paraId="5379FBC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 presente plano de resposta a incidentes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estabelece os procedimentos, responsabilidades e prazos para a deteção, resposta, contenção e recuperação face a incidentes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que afetem os sistemas de informação, redes e serviços de [Nome da organização].</w:t>
      </w:r>
    </w:p>
    <w:p w14:paraId="09BBF5A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 objetivo primordial é minimizar o impacto dos incidentes nos serviços prestados, nos dados tratados e na reputação da organização, garantindo ao mesmo tempo o cumprimento das obrigações legais de notificação estabelecidas no Decreto-Lei n.º 125/2025.</w:t>
      </w:r>
    </w:p>
    <w:p w14:paraId="0ACAE52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 âmbito deste plano abrange todos os sistemas de informação, redes e serviços da organização, independentemente da sua localização física ou lógica, incluindo ambientes de nuvem, sistemas locais e ambientes híbridos. Aplica-se a todos os colaboradores, prestadores de serviços e terceiros com acesso aos sistemas da organização.</w:t>
      </w:r>
    </w:p>
    <w:p w14:paraId="24C5BD78" w14:textId="77777777" w:rsidR="00BF0272" w:rsidRDefault="00000000">
      <w:pPr>
        <w:shd w:val="solid" w:color="DBEAFE" w:fill="auto"/>
        <w:spacing w:before="160" w:after="160"/>
        <w:ind w:left="360" w:right="360"/>
      </w:pPr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 xml:space="preserve">Referência legal: 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 xml:space="preserve">. 27.º alínea a) do DL 125/2025 — obrigação de implementar medidas de tratamento de incidentes como parte das medidas mínimas de gestão dos riscos de 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 A norma ISO/IEC 27035 constitui referência técnica complementar para a implementação deste plano.</w:t>
      </w:r>
    </w:p>
    <w:p w14:paraId="51027631" w14:textId="77777777" w:rsidR="00BF0272" w:rsidRDefault="00000000">
      <w:pPr>
        <w:pStyle w:val="Ttulo1"/>
        <w:spacing w:before="400" w:after="200"/>
      </w:pPr>
      <w:bookmarkStart w:id="3" w:name="_Toc235727996"/>
      <w:r>
        <w:rPr>
          <w:rFonts w:ascii="Calibri" w:eastAsia="Calibri" w:hAnsi="Calibri" w:cs="Calibri"/>
          <w:b/>
          <w:bCs/>
          <w:color w:val="1E3A8A"/>
        </w:rPr>
        <w:t>2. Enquadramento legal</w:t>
      </w:r>
      <w:bookmarkEnd w:id="3"/>
    </w:p>
    <w:p w14:paraId="667D0838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Este plano enquadra-se nas seguintes disposições do Decreto-Lei n.º 125/2025, que transpõe a Diretiva (UE) 2022/2555 (NIS2) para o ordenamento jurídico português:</w:t>
      </w:r>
    </w:p>
    <w:p w14:paraId="65B1450D" w14:textId="77777777" w:rsidR="00BF0272" w:rsidRDefault="00000000">
      <w:pPr>
        <w:spacing w:after="16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. 40.º a 44.º do DL 125/2025 — obrigações de notificação de incidentes significativos ao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(CNCS).</w:t>
      </w:r>
    </w:p>
    <w:p w14:paraId="5CB2F57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40.º n.º 1 — definição de incidente significativo: incidente com impacto considerável na prestação dos serviços, designadamente quando causa perturbação operacional grave, prejuízos financeiros significativos, afeta outras entidades ou causa danos materiais ou morais consideráveis</w:t>
      </w:r>
    </w:p>
    <w:p w14:paraId="587FA5B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— notificação inicial ao CNCS no prazo de 24 horas após o conhecimento do incidente significativo</w:t>
      </w:r>
    </w:p>
    <w:p w14:paraId="3405C60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n.º 3 — atualização da notificação no prazo de 72 horas após o conhecimento do incidente, com avaliação preliminar</w:t>
      </w:r>
    </w:p>
    <w:p w14:paraId="5C8C001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43.º — notificação de fim de impacto no prazo de 24 horas após a resolução do incidente</w:t>
      </w:r>
    </w:p>
    <w:p w14:paraId="01EC7FF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44.º — relatório final no prazo de 30 dias úteis após a notificação de fim de impacto</w:t>
      </w:r>
    </w:p>
    <w:p w14:paraId="68F6327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47.º — possibilidade de notificações voluntárias ao CNCS para incidentes não significativos</w:t>
      </w:r>
    </w:p>
    <w:p w14:paraId="47FB1C9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48.º — obrigações de divulgação pública quando necessário para prevenir ou responder a um incidente em curso</w:t>
      </w:r>
    </w:p>
    <w:p w14:paraId="07845BB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23.º — dever de cooperação com as autoridades judiciais (Polícia Judiciária e Ministério Público) em caso de incidentes com natureza criminal</w:t>
      </w:r>
    </w:p>
    <w:p w14:paraId="7BBE6DCA" w14:textId="77777777" w:rsidR="00BF0272" w:rsidRDefault="00000000">
      <w:pPr>
        <w:shd w:val="solid" w:color="DBEAFE" w:fill="auto"/>
        <w:spacing w:before="160" w:after="160"/>
        <w:ind w:left="360" w:right="360"/>
      </w:pPr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 xml:space="preserve">O DL 125/2025 entrou em vigor em abril de 2026. As coimas previstas nos 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 52.º a 55.º aplicam-se após abril de 2027 (período de dispensa de um ano). A não notificação de incidentes significativos constitui infração punível.</w:t>
      </w:r>
    </w:p>
    <w:p w14:paraId="5386CC14" w14:textId="77777777" w:rsidR="00BF0272" w:rsidRDefault="00000000">
      <w:pPr>
        <w:pStyle w:val="Ttulo1"/>
        <w:spacing w:before="400" w:after="200"/>
      </w:pPr>
      <w:bookmarkStart w:id="4" w:name="_Toc235727997"/>
      <w:r>
        <w:rPr>
          <w:rFonts w:ascii="Calibri" w:eastAsia="Calibri" w:hAnsi="Calibri" w:cs="Calibri"/>
          <w:b/>
          <w:bCs/>
          <w:color w:val="1E3A8A"/>
        </w:rPr>
        <w:lastRenderedPageBreak/>
        <w:t>3. Classificação de incidentes</w:t>
      </w:r>
      <w:bookmarkEnd w:id="4"/>
    </w:p>
    <w:p w14:paraId="754FF21B" w14:textId="77777777" w:rsidR="00BF0272" w:rsidRDefault="00000000" w:rsidP="004528F4">
      <w:pPr>
        <w:spacing w:after="160"/>
        <w:jc w:val="both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 classificação dos incidentes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segue uma escala de quatro níveis de severidade, alinhada com a taxonomia do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(CNCS) e com os critérios de incidente significativo definidos no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40.º do DL 125/2025. A classificação determina os procedimentos de resposta aplicáveis, os recursos a mobilizar e as obrigações de notificação.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"/>
        <w:gridCol w:w="1062"/>
        <w:gridCol w:w="2156"/>
        <w:gridCol w:w="4129"/>
        <w:gridCol w:w="1181"/>
      </w:tblGrid>
      <w:tr w:rsidR="00BF0272" w14:paraId="44D290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8A" w:fill="auto"/>
            <w:vAlign w:val="center"/>
          </w:tcPr>
          <w:p w14:paraId="1707E3A8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Nível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24B56299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Designação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5D9454C2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1E8473C4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Exemplos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5A59DF26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Tempo de resposta</w:t>
            </w:r>
          </w:p>
        </w:tc>
      </w:tr>
      <w:tr w:rsidR="00BF0272" w14:paraId="19F40A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16A34A" w:fill="auto"/>
            <w:vAlign w:val="center"/>
          </w:tcPr>
          <w:p w14:paraId="5CFC1E82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solid" w:color="16A34A" w:fill="auto"/>
            <w:vAlign w:val="center"/>
          </w:tcPr>
          <w:p w14:paraId="4F2B4ACD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Baixa</w:t>
            </w:r>
          </w:p>
        </w:tc>
        <w:tc>
          <w:tcPr>
            <w:tcW w:w="0" w:type="auto"/>
            <w:vAlign w:val="center"/>
          </w:tcPr>
          <w:p w14:paraId="4AE171B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Impacto mínimo, sem interrupção de serviço</w:t>
            </w:r>
          </w:p>
        </w:tc>
        <w:tc>
          <w:tcPr>
            <w:tcW w:w="0" w:type="auto"/>
            <w:vAlign w:val="center"/>
          </w:tcPr>
          <w:p w14:paraId="45D3574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Tentativa de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phishing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isolada,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malware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detetado e contido</w:t>
            </w:r>
          </w:p>
        </w:tc>
        <w:tc>
          <w:tcPr>
            <w:tcW w:w="0" w:type="auto"/>
            <w:vAlign w:val="center"/>
          </w:tcPr>
          <w:p w14:paraId="57C77583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374151"/>
                <w:sz w:val="22"/>
                <w:szCs w:val="22"/>
              </w:rPr>
              <w:t>48 horas</w:t>
            </w:r>
          </w:p>
        </w:tc>
      </w:tr>
      <w:tr w:rsidR="00BF0272" w14:paraId="3FA6AB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EAB308" w:fill="auto"/>
            <w:vAlign w:val="center"/>
          </w:tcPr>
          <w:p w14:paraId="42330218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solid" w:color="EAB308" w:fill="auto"/>
            <w:vAlign w:val="center"/>
          </w:tcPr>
          <w:p w14:paraId="39E43D58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Média</w:t>
            </w:r>
          </w:p>
        </w:tc>
        <w:tc>
          <w:tcPr>
            <w:tcW w:w="0" w:type="auto"/>
            <w:vAlign w:val="center"/>
          </w:tcPr>
          <w:p w14:paraId="04121EA8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Degradação de serviço, impacto limitado</w:t>
            </w:r>
          </w:p>
        </w:tc>
        <w:tc>
          <w:tcPr>
            <w:tcW w:w="0" w:type="auto"/>
            <w:vAlign w:val="center"/>
          </w:tcPr>
          <w:p w14:paraId="462EC3A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Infeção por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malware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contida, acesso não autorizado sem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exfiltração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de dados</w:t>
            </w:r>
          </w:p>
        </w:tc>
        <w:tc>
          <w:tcPr>
            <w:tcW w:w="0" w:type="auto"/>
            <w:vAlign w:val="center"/>
          </w:tcPr>
          <w:p w14:paraId="0B14FFD1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374151"/>
                <w:sz w:val="22"/>
                <w:szCs w:val="22"/>
              </w:rPr>
              <w:t>24 horas</w:t>
            </w:r>
          </w:p>
        </w:tc>
      </w:tr>
      <w:tr w:rsidR="00BF0272" w14:paraId="2FA780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97316" w:fill="auto"/>
            <w:vAlign w:val="center"/>
          </w:tcPr>
          <w:p w14:paraId="77FEC46E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solid" w:color="F97316" w:fill="auto"/>
            <w:vAlign w:val="center"/>
          </w:tcPr>
          <w:p w14:paraId="03C2B4D0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Alta</w:t>
            </w:r>
          </w:p>
        </w:tc>
        <w:tc>
          <w:tcPr>
            <w:tcW w:w="0" w:type="auto"/>
            <w:vAlign w:val="center"/>
          </w:tcPr>
          <w:p w14:paraId="5F9F44FC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Interrupção parcial, impacto significativo</w:t>
            </w:r>
          </w:p>
        </w:tc>
        <w:tc>
          <w:tcPr>
            <w:tcW w:w="0" w:type="auto"/>
            <w:vAlign w:val="center"/>
          </w:tcPr>
          <w:p w14:paraId="7C2664F0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Ransomware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parcial, fuga de dados limitada, ataque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DDoS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prolongado</w:t>
            </w:r>
          </w:p>
        </w:tc>
        <w:tc>
          <w:tcPr>
            <w:tcW w:w="0" w:type="auto"/>
            <w:vAlign w:val="center"/>
          </w:tcPr>
          <w:p w14:paraId="67FB52E1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374151"/>
                <w:sz w:val="22"/>
                <w:szCs w:val="22"/>
              </w:rPr>
              <w:t>4 horas</w:t>
            </w:r>
          </w:p>
        </w:tc>
      </w:tr>
      <w:tr w:rsidR="00BF0272" w14:paraId="710585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DC2626" w:fill="auto"/>
            <w:vAlign w:val="center"/>
          </w:tcPr>
          <w:p w14:paraId="47EBCF54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solid" w:color="DC2626" w:fill="auto"/>
            <w:vAlign w:val="center"/>
          </w:tcPr>
          <w:p w14:paraId="3C7D92B9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Crítica</w:t>
            </w:r>
          </w:p>
        </w:tc>
        <w:tc>
          <w:tcPr>
            <w:tcW w:w="0" w:type="auto"/>
            <w:vAlign w:val="center"/>
          </w:tcPr>
          <w:p w14:paraId="3872887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Interrupção total do serviço essencial</w:t>
            </w:r>
          </w:p>
        </w:tc>
        <w:tc>
          <w:tcPr>
            <w:tcW w:w="0" w:type="auto"/>
            <w:vAlign w:val="center"/>
          </w:tcPr>
          <w:p w14:paraId="1CE92A99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Ransomware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 generalizado, fuga de dados massiva, comprometimento total de infraestrutura</w:t>
            </w:r>
          </w:p>
        </w:tc>
        <w:tc>
          <w:tcPr>
            <w:tcW w:w="0" w:type="auto"/>
            <w:vAlign w:val="center"/>
          </w:tcPr>
          <w:p w14:paraId="3813F75D" w14:textId="77777777" w:rsidR="00BF0272" w:rsidRDefault="00000000">
            <w:r>
              <w:rPr>
                <w:rFonts w:ascii="Calibri" w:eastAsia="Calibri" w:hAnsi="Calibri" w:cs="Calibri"/>
                <w:b/>
                <w:bCs/>
                <w:color w:val="374151"/>
                <w:sz w:val="22"/>
                <w:szCs w:val="22"/>
              </w:rPr>
              <w:t>Imediato</w:t>
            </w:r>
          </w:p>
        </w:tc>
      </w:tr>
    </w:tbl>
    <w:p w14:paraId="7BCEFF04" w14:textId="77777777" w:rsidR="00BF0272" w:rsidRDefault="00BF0272">
      <w:pPr>
        <w:spacing w:after="160"/>
      </w:pPr>
    </w:p>
    <w:p w14:paraId="4F1A49D8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Os incidentes de níveis 3 (Alta) e 4 (Crítica) devem ser avaliados para determinar se configuram um incidente significativo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40.º do DL 125/2025, desencadeando as obrigações de notificação ao CNCS.</w:t>
      </w:r>
    </w:p>
    <w:p w14:paraId="3E8FB404" w14:textId="77777777" w:rsidR="00BF0272" w:rsidRDefault="00000000">
      <w:pPr>
        <w:pStyle w:val="Ttulo2"/>
        <w:spacing w:before="320" w:after="160"/>
      </w:pPr>
      <w:bookmarkStart w:id="5" w:name="_Toc235727998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3.1. Taxonomia de tipos de incidente</w:t>
      </w:r>
      <w:bookmarkEnd w:id="5"/>
    </w:p>
    <w:p w14:paraId="29F9E169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Os incidentes são igualmente classificados por tipo, de acordo com a taxonomia alinhada com o CNCS e com as orientações da ENISA:</w:t>
      </w:r>
    </w:p>
    <w:p w14:paraId="7249387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Malware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/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Ransomware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— software malicioso que compromete ou cifra dados e sistemas</w:t>
      </w:r>
    </w:p>
    <w:p w14:paraId="7E07CCF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Negação de serviço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DDoS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) — ataques que visam tornar serviços indisponíveis</w:t>
      </w:r>
    </w:p>
    <w:p w14:paraId="0C50537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Acesso não autorizado — intrusão em sistemas sem autorização</w:t>
      </w:r>
    </w:p>
    <w:p w14:paraId="009DD2D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Fuga / exposição de dados —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exfiltração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ou exposição não autorizada de informação</w:t>
      </w:r>
    </w:p>
    <w:p w14:paraId="41AD81AE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Phishing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/ engenharia social — manipulação de utilizadores para obtenção de credenciais ou dados</w:t>
      </w:r>
    </w:p>
    <w:p w14:paraId="3854BD5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Ameaça interna — incidente originado por colaborador ou prestador de serviços com acesso legítimo</w:t>
      </w:r>
    </w:p>
    <w:p w14:paraId="25EF87D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Exploração de vulnerabilidade — utilização de falhas de segurança em sistemas ou aplicações</w:t>
      </w:r>
    </w:p>
    <w:p w14:paraId="713B44E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Comprometimento da cadeia de abastecimento — ataque através de fornecedores ou componentes de terceiros</w:t>
      </w:r>
    </w:p>
    <w:p w14:paraId="09CE5CA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Falha de sistema / infraestrutura — indisponibilidade de sistemas críticos com causa técnica não maliciosa</w:t>
      </w:r>
    </w:p>
    <w:p w14:paraId="4CC568AE" w14:textId="77777777" w:rsidR="00BF0272" w:rsidRDefault="00000000">
      <w:pPr>
        <w:pStyle w:val="Ttulo1"/>
        <w:spacing w:before="400" w:after="200"/>
      </w:pPr>
      <w:bookmarkStart w:id="6" w:name="_Toc235727999"/>
      <w:r>
        <w:rPr>
          <w:rFonts w:ascii="Calibri" w:eastAsia="Calibri" w:hAnsi="Calibri" w:cs="Calibri"/>
          <w:b/>
          <w:bCs/>
          <w:color w:val="1E3A8A"/>
        </w:rPr>
        <w:t>4. Estrutura de resposta a incidentes</w:t>
      </w:r>
      <w:bookmarkEnd w:id="6"/>
    </w:p>
    <w:p w14:paraId="4C4DB845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 resposta a incidentes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é coordenada por uma equipa multidisciplinar, com papéis e responsabilidades claramente definidos. A composição efetiva da equipa é ativada em função da severidade e do tipo de incidente.</w:t>
      </w:r>
    </w:p>
    <w:p w14:paraId="5CA31FD5" w14:textId="77777777" w:rsidR="00BF0272" w:rsidRDefault="00000000">
      <w:pPr>
        <w:pStyle w:val="Ttulo2"/>
        <w:spacing w:before="320" w:after="160"/>
      </w:pPr>
      <w:bookmarkStart w:id="7" w:name="_Toc235728000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4.1. Composição da equipa</w:t>
      </w:r>
      <w:bookmarkEnd w:id="7"/>
    </w:p>
    <w:p w14:paraId="7909166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Coordenador de incidentes — CISO ou substituto designado; responsável pela coordenação global da resposta e pela comunicação com a gestão de topo</w:t>
      </w:r>
    </w:p>
    <w:p w14:paraId="6CAC659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Equipa técnica de resposta — profissionais de TI 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responsáveis pela análise técnica, contenção, erradicação e recuperação</w:t>
      </w:r>
    </w:p>
    <w:p w14:paraId="2CC1864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Ponto de contacto CNCS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. 32.º) — responsável pela comunicação formal com 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</w:p>
    <w:p w14:paraId="17483AF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Encarregado de proteção de dados (DPO) — envolvido quando o incidente envolve dados pessoais; coordena notificações ao abrigo do RGPD</w:t>
      </w:r>
    </w:p>
    <w:p w14:paraId="490AD6E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Jurídico — suporte em matéria de obrigações legais, preservação de evidências e eventuais participações criminais</w:t>
      </w:r>
    </w:p>
    <w:p w14:paraId="3FE3D04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Comunicação / </w:t>
      </w: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Relações públicas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— gestão da comunicação externa e interna, incluindo divulgação pública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48.º</w:t>
      </w:r>
    </w:p>
    <w:p w14:paraId="21B95A7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Gestão de topo — destinatário de escaladas; aprova decisões de impacto estratégico ou financeiro relevante</w:t>
      </w:r>
    </w:p>
    <w:p w14:paraId="5ED0E6BD" w14:textId="77777777" w:rsidR="00BF0272" w:rsidRDefault="00000000">
      <w:pPr>
        <w:pStyle w:val="Ttulo2"/>
        <w:spacing w:before="320" w:after="160"/>
      </w:pPr>
      <w:bookmarkStart w:id="8" w:name="_Toc235728001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4.2. Contactos da equipa de resposta</w:t>
      </w:r>
      <w:bookmarkEnd w:id="8"/>
    </w:p>
    <w:p w14:paraId="0F30DA7F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tabela seguinte deve ser preenchida com os contactos atualizados dos elementos da equipa de resposta a incidentes. Esta informação deve ser mantida atualizada e acessível fora dos sistemas afetados (cópia impressa em local seguro).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1"/>
        <w:gridCol w:w="1633"/>
        <w:gridCol w:w="1613"/>
        <w:gridCol w:w="2269"/>
      </w:tblGrid>
      <w:tr w:rsidR="00BF0272" w14:paraId="3C0036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8A" w:fill="auto"/>
            <w:vAlign w:val="center"/>
          </w:tcPr>
          <w:p w14:paraId="603AFAF3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Função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51BA1AB0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Nome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6B9EA6AE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Contacto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406D4BC2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Disponibilidade</w:t>
            </w:r>
          </w:p>
        </w:tc>
      </w:tr>
      <w:tr w:rsidR="00BF0272" w14:paraId="76628E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6F3F807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Coordenador de incidentes (CISO)</w:t>
            </w:r>
          </w:p>
        </w:tc>
        <w:tc>
          <w:tcPr>
            <w:tcW w:w="0" w:type="auto"/>
            <w:vAlign w:val="center"/>
          </w:tcPr>
          <w:p w14:paraId="722F3BD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vAlign w:val="center"/>
          </w:tcPr>
          <w:p w14:paraId="1917FB15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vAlign w:val="center"/>
          </w:tcPr>
          <w:p w14:paraId="480802DC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24/7</w:t>
            </w:r>
          </w:p>
        </w:tc>
      </w:tr>
      <w:tr w:rsidR="00BF0272" w14:paraId="50D888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3F4F6" w:fill="auto"/>
            <w:vAlign w:val="center"/>
          </w:tcPr>
          <w:p w14:paraId="3E02E4BA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Equipa técnica de resposta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100D8E0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730DC5C7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7269687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Horário laboral + escalada</w:t>
            </w:r>
          </w:p>
        </w:tc>
      </w:tr>
      <w:tr w:rsidR="00BF0272" w14:paraId="685094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DF39B52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Ponto de contacto CNCS (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32.º)</w:t>
            </w:r>
          </w:p>
        </w:tc>
        <w:tc>
          <w:tcPr>
            <w:tcW w:w="0" w:type="auto"/>
            <w:vAlign w:val="center"/>
          </w:tcPr>
          <w:p w14:paraId="259A5C3A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vAlign w:val="center"/>
          </w:tcPr>
          <w:p w14:paraId="2DD0E2D4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vAlign w:val="center"/>
          </w:tcPr>
          <w:p w14:paraId="419ABCFA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24/7</w:t>
            </w:r>
          </w:p>
        </w:tc>
      </w:tr>
      <w:tr w:rsidR="00BF0272" w14:paraId="37A3B8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3F4F6" w:fill="auto"/>
            <w:vAlign w:val="center"/>
          </w:tcPr>
          <w:p w14:paraId="764F1FCE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Encarregado de proteção de dados (DPO)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54842B07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6D739BDC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072F2B7B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Horário laboral + escalada</w:t>
            </w:r>
          </w:p>
        </w:tc>
      </w:tr>
      <w:tr w:rsidR="00BF0272" w14:paraId="64BE87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EDD2316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Jurídico</w:t>
            </w:r>
          </w:p>
        </w:tc>
        <w:tc>
          <w:tcPr>
            <w:tcW w:w="0" w:type="auto"/>
            <w:vAlign w:val="center"/>
          </w:tcPr>
          <w:p w14:paraId="2497D83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 / Gabinete]</w:t>
            </w:r>
          </w:p>
        </w:tc>
        <w:tc>
          <w:tcPr>
            <w:tcW w:w="0" w:type="auto"/>
            <w:vAlign w:val="center"/>
          </w:tcPr>
          <w:p w14:paraId="704D711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vAlign w:val="center"/>
          </w:tcPr>
          <w:p w14:paraId="65F78BE4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Escalada</w:t>
            </w:r>
          </w:p>
        </w:tc>
      </w:tr>
      <w:tr w:rsidR="00BF0272" w14:paraId="751A63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3F4F6" w:fill="auto"/>
            <w:vAlign w:val="center"/>
          </w:tcPr>
          <w:p w14:paraId="7C580295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Comunicação / </w:t>
            </w:r>
            <w:proofErr w:type="gram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Relações públicas</w:t>
            </w:r>
            <w:proofErr w:type="gramEnd"/>
          </w:p>
        </w:tc>
        <w:tc>
          <w:tcPr>
            <w:tcW w:w="0" w:type="auto"/>
            <w:shd w:val="solid" w:color="F3F4F6" w:fill="auto"/>
            <w:vAlign w:val="center"/>
          </w:tcPr>
          <w:p w14:paraId="576807E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4D036FBF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17E2DBE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Escalada</w:t>
            </w:r>
          </w:p>
        </w:tc>
      </w:tr>
      <w:tr w:rsidR="00BF0272" w14:paraId="1B939A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0702B9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Gestão de topo (escalada)</w:t>
            </w:r>
          </w:p>
        </w:tc>
        <w:tc>
          <w:tcPr>
            <w:tcW w:w="0" w:type="auto"/>
            <w:vAlign w:val="center"/>
          </w:tcPr>
          <w:p w14:paraId="3A44034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[Nome]</w:t>
            </w:r>
          </w:p>
        </w:tc>
        <w:tc>
          <w:tcPr>
            <w:tcW w:w="0" w:type="auto"/>
            <w:vAlign w:val="center"/>
          </w:tcPr>
          <w:p w14:paraId="5E3DF3E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[Telefone / e-mail]</w:t>
            </w:r>
          </w:p>
        </w:tc>
        <w:tc>
          <w:tcPr>
            <w:tcW w:w="0" w:type="auto"/>
            <w:vAlign w:val="center"/>
          </w:tcPr>
          <w:p w14:paraId="09C311EE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24/7</w:t>
            </w:r>
          </w:p>
        </w:tc>
      </w:tr>
    </w:tbl>
    <w:p w14:paraId="089EAFD5" w14:textId="77777777" w:rsidR="00BF0272" w:rsidRDefault="00BF0272">
      <w:pPr>
        <w:spacing w:after="160"/>
      </w:pPr>
    </w:p>
    <w:p w14:paraId="4ACC4676" w14:textId="77777777" w:rsidR="00BF0272" w:rsidRDefault="00000000">
      <w:pPr>
        <w:shd w:val="solid" w:color="DBEAFE" w:fill="auto"/>
        <w:spacing w:before="160" w:after="160"/>
        <w:ind w:left="360" w:right="360"/>
      </w:pP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 xml:space="preserve">. 32.º do DL 125/2025 — obrigação de designar um ponto de contacto único junto do CNCS para efeitos de notificação de incidentes e receção de alertas e orientações de 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</w:t>
      </w:r>
    </w:p>
    <w:p w14:paraId="19B7ECAB" w14:textId="77777777" w:rsidR="00BF0272" w:rsidRDefault="00000000">
      <w:pPr>
        <w:pStyle w:val="Ttulo1"/>
        <w:spacing w:before="400" w:after="200"/>
      </w:pPr>
      <w:bookmarkStart w:id="9" w:name="_Toc235728002"/>
      <w:r>
        <w:rPr>
          <w:rFonts w:ascii="Calibri" w:eastAsia="Calibri" w:hAnsi="Calibri" w:cs="Calibri"/>
          <w:b/>
          <w:bCs/>
          <w:color w:val="1E3A8A"/>
        </w:rPr>
        <w:t>5. Fases de resposta a incidentes</w:t>
      </w:r>
      <w:bookmarkEnd w:id="9"/>
    </w:p>
    <w:p w14:paraId="3FFF20C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 processo de resposta a incidentes segue um ciclo de vida estruturado em seis fases, baseado no modelo da ISO/IEC 27035 e adaptado às exigências do DL 125/2025. Cada fase tem objetivos, atividades e responsáveis claramente definidos.</w:t>
      </w:r>
    </w:p>
    <w:p w14:paraId="399874A4" w14:textId="77777777" w:rsidR="00BF0272" w:rsidRDefault="00000000">
      <w:pPr>
        <w:pStyle w:val="Ttulo2"/>
        <w:spacing w:before="320" w:after="160"/>
      </w:pPr>
      <w:bookmarkStart w:id="10" w:name="_Toc235728003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5.1. Preparação</w:t>
      </w:r>
      <w:bookmarkEnd w:id="10"/>
    </w:p>
    <w:p w14:paraId="28BF79F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fase de preparação é contínua e precede qualquer incidente. O seu objetivo é garantir que a organização dispõe dos recursos, competências e procedimentos necessários para responder eficazmente a incidentes.</w:t>
      </w:r>
    </w:p>
    <w:p w14:paraId="54B6D00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Manutenção da equipa de resposta a incidentes com competências atualizadas, incluindo formação regular</w:t>
      </w:r>
    </w:p>
    <w:p w14:paraId="0457411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Disponibilização das ferramentas e recursos necessários: sistemas SIEM, EDR, ferramentas forenses, comunicações seguras de contingência</w:t>
      </w:r>
    </w:p>
    <w:p w14:paraId="22699B3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Procedimentos de resposta documentados, testados e atualizados, incluindo os presentes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playbooks</w:t>
      </w:r>
      <w:proofErr w:type="spellEnd"/>
    </w:p>
    <w:p w14:paraId="4874C18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Relações estabelecidas com o CNCS / CERT.PT, incluindo registo do ponto de contacto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32.º)</w:t>
      </w:r>
    </w:p>
    <w:p w14:paraId="42325B5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Listas de contactos de emergência atualizadas e acessíveis offline</w:t>
      </w:r>
    </w:p>
    <w:p w14:paraId="20E73B5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Acordos com fornecedores de serviços de resposta a incidentes externos, se aplicável</w:t>
      </w:r>
    </w:p>
    <w:p w14:paraId="61DCB340" w14:textId="77777777" w:rsidR="00BF0272" w:rsidRDefault="00000000">
      <w:pPr>
        <w:pStyle w:val="Ttulo2"/>
        <w:spacing w:before="320" w:after="160"/>
      </w:pPr>
      <w:bookmarkStart w:id="11" w:name="_Toc235728004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5.2. Deteção e análise</w:t>
      </w:r>
      <w:bookmarkEnd w:id="11"/>
    </w:p>
    <w:p w14:paraId="6AD589FF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fase de deteção e análise visa identificar e caracterizar o incidente de forma a permitir uma resposta adequada.</w:t>
      </w:r>
    </w:p>
    <w:p w14:paraId="1D1BDD1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Fontes de deteção: sistema SIEM, solução EDR / XDR, alertas de fornecedores, reportes de utilizadores, notificações de terceiros (CNCS, CERT.PT, fornecedores)</w:t>
      </w:r>
    </w:p>
    <w:p w14:paraId="50FEADE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Triagem e classificação inicial do incidente segundo a escala de severidade definida na Secção 3</w:t>
      </w:r>
    </w:p>
    <w:p w14:paraId="55614C6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Determinação preliminar se o incidente configura um incidente significativo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40.º do DL 125/2025, desencadeando o prazo de 24 horas para notificação inicial</w:t>
      </w:r>
    </w:p>
    <w:p w14:paraId="10BC158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Registo imediato no sistema de gestão de incidentes, com data e hora exatas de deteção</w:t>
      </w:r>
    </w:p>
    <w:p w14:paraId="1A93CD2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Identificação dos sistemas, dados e serviços potencialmente afetados</w:t>
      </w:r>
    </w:p>
    <w:p w14:paraId="3331AEC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Preservação de evidências digitais desde o início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capturas de tráfego, imagens de sistemas)</w:t>
      </w:r>
    </w:p>
    <w:p w14:paraId="140AD3D3" w14:textId="77777777" w:rsidR="00BF0272" w:rsidRDefault="00000000">
      <w:pPr>
        <w:pStyle w:val="Ttulo2"/>
        <w:spacing w:before="320" w:after="160"/>
      </w:pPr>
      <w:bookmarkStart w:id="12" w:name="_Toc235728005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5.3. Contenção</w:t>
      </w:r>
      <w:bookmarkEnd w:id="12"/>
    </w:p>
    <w:p w14:paraId="7E6CFCB9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contenção visa limitar o impacto do incidente e impedir a sua propagação, equilibrando a necessidade de resposta imediata com a preservação de evidências.</w:t>
      </w:r>
    </w:p>
    <w:p w14:paraId="3628327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Contenção imediata: isolamento de sistemas afetados, bloqueio de contas comprometidas, corte de acessos suspeitos</w:t>
      </w:r>
    </w:p>
    <w:p w14:paraId="3F245FB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Contenção de curto prazo: medidas temporárias para manter os serviços críticos em funcionamento</w:t>
      </w:r>
    </w:p>
    <w:p w14:paraId="7177AAB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Contenção de longo prazo: implementação de medidas mais robustas que permitam operar em segurança durante a erradicação</w:t>
      </w:r>
    </w:p>
    <w:p w14:paraId="16DD2F2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Preservação de evidências durante a contenção: recolha e armazenamento seguro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imagens forenses e outros artefactos</w:t>
      </w:r>
    </w:p>
    <w:p w14:paraId="3E66008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Documentação detalhada de todas as ações tomadas, com data e hora</w:t>
      </w:r>
    </w:p>
    <w:p w14:paraId="6A2FC27D" w14:textId="77777777" w:rsidR="00BF0272" w:rsidRDefault="00000000">
      <w:pPr>
        <w:pStyle w:val="Ttulo2"/>
        <w:spacing w:before="320" w:after="160"/>
      </w:pPr>
      <w:bookmarkStart w:id="13" w:name="_Toc235728006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5.4. Erradicação</w:t>
      </w:r>
      <w:bookmarkEnd w:id="13"/>
    </w:p>
    <w:p w14:paraId="45452820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fase de erradicação visa eliminar a causa raiz do incidente e remover quaisquer vestígios da ameaça dos sistemas afetados.</w:t>
      </w:r>
    </w:p>
    <w:p w14:paraId="092130F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Identificação e documentação da causa raiz do incidente</w:t>
      </w:r>
    </w:p>
    <w:p w14:paraId="596119D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Remoção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malware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acessos não autorizados e artefactos maliciosos</w:t>
      </w:r>
    </w:p>
    <w:p w14:paraId="7D288B2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Aplicação de correções às vulnerabilidades exploradas</w:t>
      </w:r>
    </w:p>
    <w:p w14:paraId="176FD07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Reforço das configurações de segurança nos sistemas afetados</w:t>
      </w:r>
    </w:p>
    <w:p w14:paraId="379CD84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Verificação da limpeza completa antes de proceder à recuperação</w:t>
      </w:r>
    </w:p>
    <w:p w14:paraId="172198A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Atualização de credenciais comprometidas ou potencialmente comprometidas</w:t>
      </w:r>
    </w:p>
    <w:p w14:paraId="7EE9DA03" w14:textId="77777777" w:rsidR="00BF0272" w:rsidRDefault="00000000">
      <w:pPr>
        <w:pStyle w:val="Ttulo2"/>
        <w:spacing w:before="320" w:after="160"/>
      </w:pPr>
      <w:bookmarkStart w:id="14" w:name="_Toc235728007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5.5. Recuperação</w:t>
      </w:r>
      <w:bookmarkEnd w:id="14"/>
    </w:p>
    <w:p w14:paraId="6C5DB0C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fase de recuperação visa restaurar os sistemas e serviços afetados ao estado operacional normal de forma segura e controlada.</w:t>
      </w:r>
    </w:p>
    <w:p w14:paraId="6152CC2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Restauro de sistemas a partir de cópias de segurança validadas e íntegras</w:t>
      </w:r>
    </w:p>
    <w:p w14:paraId="406DFD1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Testes de funcionalidade antes de reintroduzir sistemas em produção</w:t>
      </w:r>
    </w:p>
    <w:p w14:paraId="5693DCF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Monitorização intensiva pós-recuperação para detetar qualquer sinal de persistência da ameaça</w:t>
      </w:r>
    </w:p>
    <w:p w14:paraId="01908F4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Restauro gradual de serviços, por ordem de criticidade</w:t>
      </w:r>
    </w:p>
    <w:p w14:paraId="21D55C5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Validação com as partes interessadas antes da declaração de recuperação total</w:t>
      </w:r>
    </w:p>
    <w:p w14:paraId="1143CB9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Emissão da notificação de fim de impacto ao CNCS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43.º) no prazo de 24 horas após a resolução</w:t>
      </w:r>
    </w:p>
    <w:p w14:paraId="70E58933" w14:textId="77777777" w:rsidR="00BF0272" w:rsidRDefault="00000000">
      <w:pPr>
        <w:pStyle w:val="Ttulo2"/>
        <w:spacing w:before="320" w:after="160"/>
      </w:pPr>
      <w:bookmarkStart w:id="15" w:name="_Toc235728008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5.6. Lições aprendidas</w:t>
      </w:r>
      <w:bookmarkEnd w:id="15"/>
    </w:p>
    <w:p w14:paraId="30CD53F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fase de lições aprendidas visa extrair conhecimento do incidente para melhorar as capacidades de resposta e prevenção futuras.</w:t>
      </w:r>
    </w:p>
    <w:p w14:paraId="501AF24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Reunião pós-incidente a realizar no prazo máximo de duas semanas após a resolução, com todos os intervenientes relevantes</w:t>
      </w:r>
    </w:p>
    <w:p w14:paraId="34CDC64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Elaboração do relatório de lições aprendidas, identificando o que correu bem, o que falhou e o que deve ser melhorado</w:t>
      </w:r>
    </w:p>
    <w:p w14:paraId="553C002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Atualização dos procedimentos,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playbooks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e listas de contactos com base nas conclusões</w:t>
      </w:r>
    </w:p>
    <w:p w14:paraId="79DFF0F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Melhoria dos controlos preventivos para reduzir a probabilidade de recorrência</w:t>
      </w:r>
    </w:p>
    <w:p w14:paraId="1F2C81D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Elaboração do relatório final para o CNCS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44.º) no prazo de 30 dias úteis após a notificação de fim de impacto</w:t>
      </w:r>
    </w:p>
    <w:p w14:paraId="097EA31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Comunicação interna das lições aprendidas relevantes a toda a organização</w:t>
      </w:r>
    </w:p>
    <w:p w14:paraId="5A42D4AF" w14:textId="77777777" w:rsidR="00BF0272" w:rsidRDefault="00000000">
      <w:pPr>
        <w:shd w:val="solid" w:color="DBEAFE" w:fill="auto"/>
        <w:spacing w:before="160" w:after="160"/>
        <w:ind w:left="360" w:right="360"/>
      </w:pP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 27.º alínea a) do DL 125/2025 — as medidas de tratamento de incidentes devem incluir procedimentos para a deteção, análise, contenção e resposta a incidentes, bem como para a recuperação pós-incidente.</w:t>
      </w:r>
    </w:p>
    <w:p w14:paraId="50E63409" w14:textId="77777777" w:rsidR="00BF0272" w:rsidRDefault="00000000">
      <w:pPr>
        <w:pStyle w:val="Ttulo1"/>
        <w:spacing w:before="400" w:after="200"/>
      </w:pPr>
      <w:bookmarkStart w:id="16" w:name="_Toc235728009"/>
      <w:r>
        <w:rPr>
          <w:rFonts w:ascii="Calibri" w:eastAsia="Calibri" w:hAnsi="Calibri" w:cs="Calibri"/>
          <w:b/>
          <w:bCs/>
          <w:color w:val="1E3A8A"/>
        </w:rPr>
        <w:t>6. Prazos de notificação ao CNCS</w:t>
      </w:r>
      <w:bookmarkEnd w:id="16"/>
    </w:p>
    <w:p w14:paraId="2A671DC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lastRenderedPageBreak/>
        <w:t xml:space="preserve">O DL 125/2025 estabelece um regime escalonado de notificação de incidentes significativos ao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(CNCS). O cumprimento destes prazos é obrigatório e a sua inobservância constitui infração punível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52.º e seguintes.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4"/>
        <w:gridCol w:w="1933"/>
        <w:gridCol w:w="823"/>
        <w:gridCol w:w="4406"/>
      </w:tblGrid>
      <w:tr w:rsidR="00BF0272" w14:paraId="505A2C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8A" w:fill="auto"/>
            <w:vAlign w:val="center"/>
          </w:tcPr>
          <w:p w14:paraId="50EE3355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Fase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5D342E20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Prazo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35DA7132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Artigo</w:t>
            </w:r>
          </w:p>
        </w:tc>
        <w:tc>
          <w:tcPr>
            <w:tcW w:w="0" w:type="auto"/>
            <w:shd w:val="solid" w:color="1E3A8A" w:fill="auto"/>
            <w:vAlign w:val="center"/>
          </w:tcPr>
          <w:p w14:paraId="18355067" w14:textId="77777777" w:rsidR="00BF0272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Conteúdo obrigatório</w:t>
            </w:r>
          </w:p>
        </w:tc>
      </w:tr>
      <w:tr w:rsidR="00BF0272" w14:paraId="79554A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2E6DD7BA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Notificação inicial</w:t>
            </w:r>
          </w:p>
        </w:tc>
        <w:tc>
          <w:tcPr>
            <w:tcW w:w="0" w:type="auto"/>
            <w:vAlign w:val="center"/>
          </w:tcPr>
          <w:p w14:paraId="46F9D4DC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24 horas após deteção</w:t>
            </w:r>
          </w:p>
        </w:tc>
        <w:tc>
          <w:tcPr>
            <w:tcW w:w="0" w:type="auto"/>
            <w:vAlign w:val="center"/>
          </w:tcPr>
          <w:p w14:paraId="7967D10A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42.º n.º 1</w:t>
            </w:r>
          </w:p>
        </w:tc>
        <w:tc>
          <w:tcPr>
            <w:tcW w:w="0" w:type="auto"/>
            <w:vAlign w:val="center"/>
          </w:tcPr>
          <w:p w14:paraId="1ECB53A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Natureza do incidente, avaliação inicial da gravidade e impacto, contacto do ponto de contacto</w:t>
            </w:r>
          </w:p>
        </w:tc>
      </w:tr>
      <w:tr w:rsidR="00BF0272" w14:paraId="4D0F38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3F4F6" w:fill="auto"/>
            <w:vAlign w:val="center"/>
          </w:tcPr>
          <w:p w14:paraId="5828E38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Atualização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33ACB1B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72 horas após deteção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0329A760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42.º n.º 3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7006B9B5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Avaliação da gravidade e impacto, indicadores de exposição a riscos, medidas de atenuação adotadas</w:t>
            </w:r>
          </w:p>
        </w:tc>
      </w:tr>
      <w:tr w:rsidR="00BF0272" w14:paraId="349597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5BF9B4C4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Notificação de fim de impacto</w:t>
            </w:r>
          </w:p>
        </w:tc>
        <w:tc>
          <w:tcPr>
            <w:tcW w:w="0" w:type="auto"/>
            <w:vAlign w:val="center"/>
          </w:tcPr>
          <w:p w14:paraId="1598B5D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24 horas após fim do impacto</w:t>
            </w:r>
          </w:p>
        </w:tc>
        <w:tc>
          <w:tcPr>
            <w:tcW w:w="0" w:type="auto"/>
            <w:vAlign w:val="center"/>
          </w:tcPr>
          <w:p w14:paraId="1E84F5DD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43.º</w:t>
            </w:r>
          </w:p>
        </w:tc>
        <w:tc>
          <w:tcPr>
            <w:tcW w:w="0" w:type="auto"/>
            <w:vAlign w:val="center"/>
          </w:tcPr>
          <w:p w14:paraId="6DD8E351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Confirmação do fim do impacto do incidente</w:t>
            </w:r>
          </w:p>
        </w:tc>
      </w:tr>
      <w:tr w:rsidR="00BF0272" w14:paraId="3C17C6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3F4F6" w:fill="auto"/>
            <w:vAlign w:val="center"/>
          </w:tcPr>
          <w:p w14:paraId="69F268E3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Relatório final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13AECE18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 xml:space="preserve">30 dias úteis após </w:t>
            </w:r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notif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de fim de impacto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34252B56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44.º n.º 1</w:t>
            </w:r>
          </w:p>
        </w:tc>
        <w:tc>
          <w:tcPr>
            <w:tcW w:w="0" w:type="auto"/>
            <w:shd w:val="solid" w:color="F3F4F6" w:fill="auto"/>
            <w:vAlign w:val="center"/>
          </w:tcPr>
          <w:p w14:paraId="10FC5A1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Descrição detalhada do incidente, tipo de ameaça e causa raiz, medidas adotadas, impacto transfronteiriço</w:t>
            </w:r>
          </w:p>
        </w:tc>
      </w:tr>
      <w:tr w:rsidR="00BF0272" w14:paraId="65483C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77322F50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Relatório de progresso (se em curso)</w:t>
            </w:r>
          </w:p>
        </w:tc>
        <w:tc>
          <w:tcPr>
            <w:tcW w:w="0" w:type="auto"/>
            <w:vAlign w:val="center"/>
          </w:tcPr>
          <w:p w14:paraId="5B4DFA89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Mensal até resolução</w:t>
            </w:r>
          </w:p>
        </w:tc>
        <w:tc>
          <w:tcPr>
            <w:tcW w:w="0" w:type="auto"/>
            <w:vAlign w:val="center"/>
          </w:tcPr>
          <w:p w14:paraId="599137F4" w14:textId="77777777" w:rsidR="00BF0272" w:rsidRDefault="00000000">
            <w:proofErr w:type="spellStart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Art</w:t>
            </w:r>
            <w:proofErr w:type="spellEnd"/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. 44.º n.º 2</w:t>
            </w:r>
          </w:p>
        </w:tc>
        <w:tc>
          <w:tcPr>
            <w:tcW w:w="0" w:type="auto"/>
            <w:vAlign w:val="center"/>
          </w:tcPr>
          <w:p w14:paraId="331C71D8" w14:textId="77777777" w:rsidR="00BF0272" w:rsidRDefault="00000000">
            <w:r>
              <w:rPr>
                <w:rFonts w:ascii="Calibri" w:eastAsia="Calibri" w:hAnsi="Calibri" w:cs="Calibri"/>
                <w:color w:val="374151"/>
                <w:sz w:val="22"/>
                <w:szCs w:val="22"/>
              </w:rPr>
              <w:t>Relatório de progresso enquanto o incidente não estiver resolvido; seguido de relatório final em 30 dias úteis</w:t>
            </w:r>
          </w:p>
        </w:tc>
      </w:tr>
    </w:tbl>
    <w:p w14:paraId="1F334969" w14:textId="77777777" w:rsidR="00BF0272" w:rsidRDefault="00BF0272">
      <w:pPr>
        <w:spacing w:after="160"/>
      </w:pPr>
    </w:p>
    <w:p w14:paraId="0D940076" w14:textId="77777777" w:rsidR="00BF0272" w:rsidRDefault="00000000">
      <w:pPr>
        <w:shd w:val="solid" w:color="DBEAFE" w:fill="auto"/>
        <w:spacing w:before="160" w:after="160"/>
        <w:ind w:left="360" w:right="360"/>
      </w:pPr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Critérios de incidente significativo (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 40.º do DL 125/2025): considera-se significativo o incidente que cause perturbação operacional grave dos serviços ou perdas financeiras significativas para a entidade; que afete outras pessoas singulares ou coletivas, causando prejuízos materiais ou morais consideráveis; ou que, pela sua natureza ou extensão, possa ter impacto transfronteiriço. A avaliação deve ser feita no prazo mais breve possível após a deteção.</w:t>
      </w:r>
    </w:p>
    <w:p w14:paraId="01E2750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Para incidentes com potencial impacto em dados pessoais, devem igualmente ser observados os prazos de notificação à Comissão Nacional de Proteção de Dados (CNPD) previstos no RGPD: 72 horas após o conhecimento para notificação à autoridade de controlo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33.º do RGPD) e, quando aplicável, comunicação sem demora injustificada aos titulares afetados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34.º do RGPD).</w:t>
      </w:r>
    </w:p>
    <w:p w14:paraId="67AF5B70" w14:textId="77777777" w:rsidR="00BF0272" w:rsidRDefault="00000000">
      <w:pPr>
        <w:pStyle w:val="Ttulo1"/>
        <w:spacing w:before="400" w:after="200"/>
      </w:pPr>
      <w:bookmarkStart w:id="17" w:name="_Toc235728010"/>
      <w:r>
        <w:rPr>
          <w:rFonts w:ascii="Calibri" w:eastAsia="Calibri" w:hAnsi="Calibri" w:cs="Calibri"/>
          <w:b/>
          <w:bCs/>
          <w:color w:val="1E3A8A"/>
        </w:rPr>
        <w:t xml:space="preserve">7. </w:t>
      </w:r>
      <w:proofErr w:type="spellStart"/>
      <w:r>
        <w:rPr>
          <w:rFonts w:ascii="Calibri" w:eastAsia="Calibri" w:hAnsi="Calibri" w:cs="Calibri"/>
          <w:b/>
          <w:bCs/>
          <w:color w:val="1E3A8A"/>
        </w:rPr>
        <w:t>Playbooks</w:t>
      </w:r>
      <w:proofErr w:type="spellEnd"/>
      <w:r>
        <w:rPr>
          <w:rFonts w:ascii="Calibri" w:eastAsia="Calibri" w:hAnsi="Calibri" w:cs="Calibri"/>
          <w:b/>
          <w:bCs/>
          <w:color w:val="1E3A8A"/>
        </w:rPr>
        <w:t xml:space="preserve"> por tipo de incidente</w:t>
      </w:r>
      <w:bookmarkEnd w:id="17"/>
    </w:p>
    <w:p w14:paraId="4D53BABF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Os seguintes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playbooks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fornecem orientações específicas para os tipos de incidente mais frequentes ou de maior impacto. Devem ser utilizados em complemento do processo geral de resposta descrito na Secção 5.</w:t>
      </w:r>
    </w:p>
    <w:p w14:paraId="203000D0" w14:textId="77777777" w:rsidR="00BF0272" w:rsidRDefault="00000000">
      <w:pPr>
        <w:pStyle w:val="Ttulo2"/>
        <w:spacing w:before="320" w:after="160"/>
      </w:pPr>
      <w:bookmarkStart w:id="18" w:name="_Toc235728011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7.1. 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Ransomware</w:t>
      </w:r>
      <w:bookmarkEnd w:id="18"/>
      <w:proofErr w:type="spellEnd"/>
    </w:p>
    <w:p w14:paraId="6C9BF3B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ransomware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constitui uma das ameaças mais graves para as organizações, podendo causar interrupção prolongada dos serviços e perda irreversível de dados. A resposta deve ser imediata e coordenada.</w:t>
      </w:r>
    </w:p>
    <w:p w14:paraId="35E1B09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Isolar imediatamente os sistemas afetados da rede, impedindo a propagação lateral</w:t>
      </w:r>
    </w:p>
    <w:p w14:paraId="2E4137B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Não pagar o resgate exigido — o pagamento não garante a recuperação dos dados e financia atividades criminosas (recomendação do CNCS e das forças de segurança)</w:t>
      </w:r>
    </w:p>
    <w:p w14:paraId="17029E8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Verificar a existência e integridade de cópias de segurança antes de qualquer decisão sobre recuperação</w:t>
      </w:r>
    </w:p>
    <w:p w14:paraId="5A87717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Notificar o CNCS no prazo de 24 horas após a deteção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n.º 1)</w:t>
      </w:r>
    </w:p>
    <w:p w14:paraId="19198BD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lastRenderedPageBreak/>
        <w:t>Notificar a Polícia Judiciária, dada a natureza criminal do ataque</w:t>
      </w:r>
    </w:p>
    <w:p w14:paraId="0416C99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Preservar todas as evidências forenses: sistemas cifrados, notas de resgate,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de rede e de sistemas</w:t>
      </w:r>
    </w:p>
    <w:p w14:paraId="794083D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Identificar o vetor de entrada e aplicar correções antes de restaurar os sistemas</w:t>
      </w:r>
    </w:p>
    <w:p w14:paraId="3B0DBA39" w14:textId="77777777" w:rsidR="00BF0272" w:rsidRDefault="00000000">
      <w:pPr>
        <w:pStyle w:val="Ttulo2"/>
        <w:spacing w:before="320" w:after="160"/>
      </w:pPr>
      <w:bookmarkStart w:id="19" w:name="_Toc235728012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7.2. Negação de serviço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DDoS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)</w:t>
      </w:r>
      <w:bookmarkEnd w:id="19"/>
    </w:p>
    <w:p w14:paraId="18ADF9B2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Os ataques de negação de serviço visam tornar os serviços indisponíveis, podendo afetar a prestação de serviços essenciais e a reputação da organização.</w:t>
      </w:r>
    </w:p>
    <w:p w14:paraId="6550E51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Ativar mecanismos de mitigação disponíveis: CDN com proteção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DDoS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, filtragem pelo ISP, serviços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anti-DDoS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contratados</w:t>
      </w:r>
    </w:p>
    <w:p w14:paraId="6B71DC3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Identificar os vetores e padrões do ataque (volumétrico, protocolar, aplicacional)</w:t>
      </w:r>
    </w:p>
    <w:p w14:paraId="0A1994D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Implementar regras de rate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limiting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e filtragem de tráfego malicioso</w:t>
      </w:r>
    </w:p>
    <w:p w14:paraId="127040A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Contactar o ISP para mitigação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upstream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quando o volume ultrapassar as capacidades locais</w:t>
      </w:r>
    </w:p>
    <w:p w14:paraId="776CBE6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Monitorizar a normalização do tráfego e a recuperação dos serviços</w:t>
      </w:r>
    </w:p>
    <w:p w14:paraId="21D2363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Avaliar se o ataque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DDoS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é uma distração para outro vetor de ataque simultâneo</w:t>
      </w:r>
    </w:p>
    <w:p w14:paraId="18759A25" w14:textId="77777777" w:rsidR="00BF0272" w:rsidRDefault="00000000">
      <w:pPr>
        <w:pStyle w:val="Ttulo2"/>
        <w:spacing w:before="320" w:after="160"/>
      </w:pPr>
      <w:bookmarkStart w:id="20" w:name="_Toc235728013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7.3. Fuga de dados</w:t>
      </w:r>
      <w:bookmarkEnd w:id="20"/>
    </w:p>
    <w:p w14:paraId="72A73496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fuga ou exposição não autorizada de dados pode ter consequências graves para os titulares dos dados, para a reputação da organização e implicar obrigações de notificação ao abrigo do RGPD e do DL 125/2025.</w:t>
      </w:r>
    </w:p>
    <w:p w14:paraId="139952B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Identificar os dados afetados, a extensão da fuga e os sistemas de onde ocorreu</w:t>
      </w:r>
    </w:p>
    <w:p w14:paraId="7C06B91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Conter a fuga: revogar acessos, fechar canais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exfiltração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corrigir vulnerabilidades exploradas</w:t>
      </w:r>
    </w:p>
    <w:p w14:paraId="28F801F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Notificar o CNCS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42.º, caso configure incidente significativo</w:t>
      </w:r>
    </w:p>
    <w:p w14:paraId="4D716EA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Notificar a CNPD no prazo de 72 horas se os dados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exfiltrados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incluírem dados pessoais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33.º do RGPD)</w:t>
      </w:r>
    </w:p>
    <w:p w14:paraId="13AFB0E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Avaliar a necessidade de notificar os titulares dos dados afetados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34.º do RGPD</w:t>
      </w:r>
    </w:p>
    <w:p w14:paraId="562331E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Documentar exaustivamente os dados afetados, o período de exposição e as medidas de remediação</w:t>
      </w:r>
    </w:p>
    <w:p w14:paraId="1F3EB23B" w14:textId="77777777" w:rsidR="00BF0272" w:rsidRDefault="00000000">
      <w:pPr>
        <w:pStyle w:val="Ttulo2"/>
        <w:spacing w:before="320" w:after="160"/>
      </w:pPr>
      <w:bookmarkStart w:id="21" w:name="_Toc235728014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7.4. Ameaça interna</w:t>
      </w:r>
      <w:bookmarkEnd w:id="21"/>
    </w:p>
    <w:p w14:paraId="43483B34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Os incidentes originados por colaboradores ou prestadores de serviços com acesso legítimo requerem procedimentos específicos que equilibram a resposta técnica com as considerações legais e de recursos humanos.</w:t>
      </w:r>
    </w:p>
    <w:p w14:paraId="4514157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Preservar todas as evidências antes de confrontar o suspeito ou tomar medidas que possam alertar o mesmo</w:t>
      </w:r>
    </w:p>
    <w:p w14:paraId="2E87DBA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Envolver imediatamente a equipa jurídica e de recursos humanos</w:t>
      </w:r>
    </w:p>
    <w:p w14:paraId="2D019D2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Rever os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de acesso e as atividades do utilizador suspeito no período relevante</w:t>
      </w:r>
    </w:p>
    <w:p w14:paraId="31F7EAE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Revogar os acessos do suspeito de forma controlada e documentada</w:t>
      </w:r>
    </w:p>
    <w:p w14:paraId="0EFC00D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Avaliar a necessidade de participação criminal junto da Polícia Judiciária</w:t>
      </w:r>
    </w:p>
    <w:p w14:paraId="74B98FF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lastRenderedPageBreak/>
        <w:t>Conduzir uma revisão alargada dos acessos e das atividades de outros utilizadores com perfil semelhante</w:t>
      </w:r>
    </w:p>
    <w:p w14:paraId="0DD52910" w14:textId="77777777" w:rsidR="00BF0272" w:rsidRDefault="00000000">
      <w:pPr>
        <w:pStyle w:val="Ttulo2"/>
        <w:spacing w:before="320" w:after="160"/>
      </w:pPr>
      <w:bookmarkStart w:id="22" w:name="_Toc235728015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7.5. Comprometimento da cadeia de abastecimento</w:t>
      </w:r>
      <w:bookmarkEnd w:id="22"/>
    </w:p>
    <w:p w14:paraId="459509FA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O comprometimento de um fornecedor ou componente de software de terceiros pode ter impacto direto nos sistemas da organização, mesmo sem um ataque direto.</w:t>
      </w:r>
    </w:p>
    <w:p w14:paraId="01AC9A6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Notificar o fornecedor afetado e colaborar na avaliação do impacto</w:t>
      </w:r>
    </w:p>
    <w:p w14:paraId="55AB5DE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Isolar ou suspender os acessos do fornecedor comprometido aos sistemas da organização</w:t>
      </w:r>
    </w:p>
    <w:p w14:paraId="2A3EE2AE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Avaliar o impacto nos sistemas próprios: que dados e sistemas estiveram expostos?</w:t>
      </w:r>
    </w:p>
    <w:p w14:paraId="498B03AE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Monitorizar indicadores de comprometimento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IoC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) nos sistemas internos</w:t>
      </w:r>
    </w:p>
    <w:p w14:paraId="7518F53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Rever e reforçar os controlos de acesso de todos os fornecedores</w:t>
      </w:r>
    </w:p>
    <w:p w14:paraId="5984120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Avaliar a necessidade de notificação ao CNCS se configurar incidente significativo</w:t>
      </w:r>
    </w:p>
    <w:p w14:paraId="3AB36DBB" w14:textId="77777777" w:rsidR="00BF0272" w:rsidRDefault="00000000">
      <w:pPr>
        <w:pStyle w:val="Ttulo1"/>
        <w:spacing w:before="400" w:after="200"/>
      </w:pPr>
      <w:bookmarkStart w:id="23" w:name="_Toc235728016"/>
      <w:r>
        <w:rPr>
          <w:rFonts w:ascii="Calibri" w:eastAsia="Calibri" w:hAnsi="Calibri" w:cs="Calibri"/>
          <w:b/>
          <w:bCs/>
          <w:color w:val="1E3A8A"/>
        </w:rPr>
        <w:t>8. Comunicação</w:t>
      </w:r>
      <w:bookmarkEnd w:id="23"/>
    </w:p>
    <w:p w14:paraId="10856FB6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 gestão da comunicação durante e após um incidente é crítica para minimizar o impacto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reputacional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cumprir as obrigações legais e preservar a confiança das partes interessadas.</w:t>
      </w:r>
    </w:p>
    <w:p w14:paraId="6A1B453F" w14:textId="77777777" w:rsidR="00BF0272" w:rsidRDefault="00000000">
      <w:pPr>
        <w:pStyle w:val="Ttulo2"/>
        <w:spacing w:before="320" w:after="160"/>
      </w:pPr>
      <w:bookmarkStart w:id="24" w:name="_Toc235728017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8.1. Comunicação interna</w:t>
      </w:r>
      <w:bookmarkEnd w:id="24"/>
    </w:p>
    <w:p w14:paraId="333C819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comunicação interna durante um incidente segue uma matriz de escalada clara, garantindo que a informação certa chega às pessoas certas no momento certo.</w:t>
      </w:r>
    </w:p>
    <w:p w14:paraId="33435EE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 comunicação entre os membros da equipa de resposta deve utilizar canais seguros, preferencialmente fora dos sistemas potencialmente comprometidos (e-mail alternativo, telefone, comunicações cifradas)</w:t>
      </w:r>
    </w:p>
    <w:p w14:paraId="3A9DC6B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 gestão de topo é notificada imediatamente para incidentes de severidade Alta ou Crítica</w:t>
      </w:r>
    </w:p>
    <w:p w14:paraId="51DC8CA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As atualizações de situação são enviadas à gestão de topo com a periodicidade adequada à severidade</w:t>
      </w:r>
    </w:p>
    <w:p w14:paraId="150BE0E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 comunicação com os utilizadores afetados deve ser clara, factual e evitar especulações</w:t>
      </w:r>
    </w:p>
    <w:p w14:paraId="03BF73F5" w14:textId="77777777" w:rsidR="00BF0272" w:rsidRDefault="00000000">
      <w:pPr>
        <w:pStyle w:val="Ttulo2"/>
        <w:spacing w:before="320" w:after="160"/>
      </w:pPr>
      <w:bookmarkStart w:id="25" w:name="_Toc235728018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8.2. Comunicação com autoridades</w:t>
      </w:r>
      <w:bookmarkEnd w:id="25"/>
    </w:p>
    <w:p w14:paraId="62D02B6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CNCS — notificações obrigatórias nos prazos definidos no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a 44.º do DL 125/2025</w:t>
      </w:r>
    </w:p>
    <w:p w14:paraId="671E37D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CNPD — notificação em 72 horas quando o incidente envolva dados pessoais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33.º do RGPD)</w:t>
      </w:r>
    </w:p>
    <w:p w14:paraId="0D50B44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Polícia Judiciária — participação em caso de incidentes com natureza criminal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ransomware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intrusão, fraude)</w:t>
      </w:r>
    </w:p>
    <w:p w14:paraId="6C21EA9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Ministério Público — nos casos previstos no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23.º do DL 125/2025</w:t>
      </w:r>
    </w:p>
    <w:p w14:paraId="6C310C3A" w14:textId="77777777" w:rsidR="00BF0272" w:rsidRDefault="00000000">
      <w:pPr>
        <w:pStyle w:val="Ttulo2"/>
        <w:spacing w:before="320" w:after="160"/>
      </w:pPr>
      <w:bookmarkStart w:id="26" w:name="_Toc235728019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8.3. Comunicação pública</w:t>
      </w:r>
      <w:bookmarkEnd w:id="26"/>
    </w:p>
    <w:p w14:paraId="30AEEC9B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comunicação pública sobre incidentes deve ser cuidadosamente gerida, equilibrando a transparência com a segurança operacional.</w:t>
      </w:r>
    </w:p>
    <w:p w14:paraId="41B7C09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lastRenderedPageBreak/>
        <w:t xml:space="preserve">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48.º do DL 125/2025, o CNCS pode exigir a divulgação pública de um incidente quando tal seja necessário para prevenir o incidente ou reagir a um incidente em curso</w:t>
      </w:r>
    </w:p>
    <w:p w14:paraId="41632E6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As declarações públicas devem ser aprovadas pelo jurídico e pela gestão de topo antes de serem emitidas</w:t>
      </w:r>
    </w:p>
    <w:p w14:paraId="14F6FF7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 organização pode ser proativa na comunicação pública quando tal sirva os interesses dos destinatários dos serviços</w:t>
      </w:r>
    </w:p>
    <w:p w14:paraId="62B2D22A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Todas as declarações públicas são coordenadas com a equipa de comunicação designada</w:t>
      </w:r>
    </w:p>
    <w:p w14:paraId="01358AF9" w14:textId="77777777" w:rsidR="00BF0272" w:rsidRDefault="00000000">
      <w:pPr>
        <w:pStyle w:val="Ttulo2"/>
        <w:spacing w:before="320" w:after="160"/>
      </w:pPr>
      <w:bookmarkStart w:id="27" w:name="_Toc235728020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8.4. Comunicação com destinatários dos serviços</w:t>
      </w:r>
      <w:bookmarkEnd w:id="27"/>
    </w:p>
    <w:p w14:paraId="7E2133A4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Quando um incidente afeta a disponibilidade ou a integridade dos serviços prestados, os destinatários dos serviços devem ser notificados de forma clara e atempada, incluindo a natureza do incidente, o impacto esperado, as medidas em curso e as ações recomendadas aos destinatários.</w:t>
      </w:r>
    </w:p>
    <w:p w14:paraId="5AC71BD4" w14:textId="77777777" w:rsidR="00BF0272" w:rsidRDefault="00000000">
      <w:pPr>
        <w:pStyle w:val="Ttulo1"/>
        <w:spacing w:before="400" w:after="200"/>
      </w:pPr>
      <w:bookmarkStart w:id="28" w:name="_Toc235728021"/>
      <w:r>
        <w:rPr>
          <w:rFonts w:ascii="Calibri" w:eastAsia="Calibri" w:hAnsi="Calibri" w:cs="Calibri"/>
          <w:b/>
          <w:bCs/>
          <w:color w:val="1E3A8A"/>
        </w:rPr>
        <w:t>9. Preservação de evidências</w:t>
      </w:r>
      <w:bookmarkEnd w:id="28"/>
    </w:p>
    <w:p w14:paraId="23838622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preservação adequada de evidências é essencial tanto para a investigação do incidente como para eventuais processos judiciais ou regulatórios. A recolha e custódia de evidências deve seguir princípios forenses reconhecidos desde o início da resposta ao incidente.</w:t>
      </w:r>
    </w:p>
    <w:p w14:paraId="07BD9255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Cadeia de custódia: todas as evidências recolhidas devem ser documentadas com data, hora, responsável pela recolha e método utilizado; a cadeia de custódia deve ser mantida ao longo de todo o processo</w:t>
      </w:r>
    </w:p>
    <w:p w14:paraId="0EA3816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Princípios de forense digital: recolher a informação mais volátil primeiro (memória RAM, conexões ativas, processos); nunca realizar análise forense nos sistemas originais sem cópia prévia</w:t>
      </w:r>
    </w:p>
    <w:p w14:paraId="31A7FA9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Tipos de evidências a preservar: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de sistemas e aplicações, imagens forenses de discos, capturas de tráfego de rede, artefactos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malware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, registos de autenticação</w:t>
      </w:r>
    </w:p>
    <w:p w14:paraId="1444AF0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Cooperação com a Polícia Judiciária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23.º do DL 125/2025, disponibilizando as evidências solicitadas pelas autoridades</w:t>
      </w:r>
    </w:p>
    <w:p w14:paraId="29FC2A7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Retenção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logs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: os registos relevantes para o incidente devem ser preservados pelo período mínimo de cinco anos ou o prazo superior exigido pelas autoridades</w:t>
      </w:r>
    </w:p>
    <w:p w14:paraId="49F4E4A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Integridade das evidências: utilização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hashes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criptográficos para verificar a integridade das evidências recolhidas</w:t>
      </w:r>
    </w:p>
    <w:p w14:paraId="52F5A075" w14:textId="77777777" w:rsidR="00BF0272" w:rsidRDefault="00000000">
      <w:pPr>
        <w:pStyle w:val="Ttulo1"/>
        <w:spacing w:before="400" w:after="200"/>
      </w:pPr>
      <w:bookmarkStart w:id="29" w:name="_Toc235728022"/>
      <w:r>
        <w:rPr>
          <w:rFonts w:ascii="Calibri" w:eastAsia="Calibri" w:hAnsi="Calibri" w:cs="Calibri"/>
          <w:b/>
          <w:bCs/>
          <w:color w:val="1E3A8A"/>
        </w:rPr>
        <w:t>10. Testes e exercícios</w:t>
      </w:r>
      <w:bookmarkEnd w:id="29"/>
    </w:p>
    <w:p w14:paraId="341979A7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eficácia do plano de resposta a incidentes deve ser verificada regularmente através de testes e exercícios, garantindo que a equipa está preparada para responder eficazmente quando necessário.</w:t>
      </w:r>
    </w:p>
    <w:p w14:paraId="505CCAA4" w14:textId="77777777" w:rsidR="00BF0272" w:rsidRDefault="00000000">
      <w:pPr>
        <w:pStyle w:val="Ttulo2"/>
        <w:spacing w:before="320" w:after="160"/>
      </w:pPr>
      <w:bookmarkStart w:id="30" w:name="_Toc235728023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10.1. Tipos de exercícios</w:t>
      </w:r>
      <w:bookmarkEnd w:id="30"/>
    </w:p>
    <w:p w14:paraId="12D6E0A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Exercícios de mesa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tabletop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): discussão estruturada de cenários de incidente, sem ativação de sistemas — adequados para testar procedimentos, papéis e comunicação</w:t>
      </w:r>
    </w:p>
    <w:p w14:paraId="58752FCC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Exercícios de simulação: ativação parcial dos procedimentos de resposta com cenários controlados — adequados para testar a coordenação e os tempos de resposta</w:t>
      </w:r>
    </w:p>
    <w:p w14:paraId="22B789BD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lastRenderedPageBreak/>
        <w:t>Testes de escala completa: simulação realista de um incidente grave, com ativação completa da equipa e dos procedimentos — adequados para identificar lacunas críticas</w:t>
      </w:r>
    </w:p>
    <w:p w14:paraId="762BEF5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Exercícios de recuperação: teste dos procedimentos de restauro a partir de cópias de segurança e de recuperação de sistemas</w:t>
      </w:r>
    </w:p>
    <w:p w14:paraId="0E8930ED" w14:textId="77777777" w:rsidR="00BF0272" w:rsidRDefault="00000000">
      <w:pPr>
        <w:pStyle w:val="Ttulo2"/>
        <w:spacing w:before="320" w:after="160"/>
      </w:pPr>
      <w:bookmarkStart w:id="31" w:name="_Toc235728024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10.2. Frequência e documentação</w:t>
      </w:r>
      <w:bookmarkEnd w:id="31"/>
    </w:p>
    <w:p w14:paraId="4026AB9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Frequência mínima: um exercício por ano, combinando pelo menos um exercício de mesa com um exercício de simulação</w:t>
      </w:r>
    </w:p>
    <w:p w14:paraId="2692BD1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Os exercícios devem ser planeados com antecedência e os objetivos claramente definidos</w:t>
      </w:r>
    </w:p>
    <w:p w14:paraId="666CFC6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Os resultados de cada exercício são documentados, incluindo as lacunas identificadas e as ações de melhoria</w:t>
      </w:r>
    </w:p>
    <w:p w14:paraId="7E1B446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As ações de melhoria são integradas no plano e nos procedimentos com prazos de implementação definidos</w:t>
      </w:r>
    </w:p>
    <w:p w14:paraId="771CB0A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O relatório de cada exercício é apresentado ao órgão de gestão</w:t>
      </w:r>
    </w:p>
    <w:p w14:paraId="22B1291F" w14:textId="77777777" w:rsidR="00BF0272" w:rsidRDefault="00000000">
      <w:pPr>
        <w:shd w:val="solid" w:color="DBEAFE" w:fill="auto"/>
        <w:spacing w:before="160" w:after="160"/>
        <w:ind w:left="360" w:right="360"/>
      </w:pP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 xml:space="preserve">. 27.º alínea a) e </w:t>
      </w:r>
      <w:proofErr w:type="spellStart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i/>
          <w:iCs/>
          <w:color w:val="1E3A8A"/>
          <w:sz w:val="22"/>
          <w:szCs w:val="22"/>
        </w:rPr>
        <w:t>. 25.º do DL 125/2025 — a realização de exercícios periódicos de resposta a incidentes é uma boa prática essencial para a manutenção da capacidade de resposta e para o cumprimento das obrigações de gestão de riscos.</w:t>
      </w:r>
    </w:p>
    <w:p w14:paraId="01833DE4" w14:textId="77777777" w:rsidR="00BF0272" w:rsidRDefault="00000000">
      <w:r>
        <w:br w:type="page"/>
      </w:r>
    </w:p>
    <w:p w14:paraId="22EA0D13" w14:textId="77777777" w:rsidR="00BF0272" w:rsidRDefault="00000000">
      <w:pPr>
        <w:pStyle w:val="Ttulo1"/>
        <w:spacing w:before="400" w:after="200"/>
      </w:pPr>
      <w:bookmarkStart w:id="32" w:name="_Toc235728025"/>
      <w:r>
        <w:rPr>
          <w:rFonts w:ascii="Calibri" w:eastAsia="Calibri" w:hAnsi="Calibri" w:cs="Calibri"/>
          <w:b/>
          <w:bCs/>
          <w:color w:val="1E3A8A"/>
        </w:rPr>
        <w:lastRenderedPageBreak/>
        <w:t>11. Anexos</w:t>
      </w:r>
      <w:bookmarkEnd w:id="32"/>
    </w:p>
    <w:p w14:paraId="0804630E" w14:textId="77777777" w:rsidR="00BF0272" w:rsidRDefault="00000000">
      <w:pPr>
        <w:pStyle w:val="Ttulo2"/>
        <w:spacing w:before="320" w:after="160"/>
      </w:pPr>
      <w:bookmarkStart w:id="33" w:name="_Toc235728026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Anexo A: Contactos CNCS / CERT.PT</w:t>
      </w:r>
      <w:bookmarkEnd w:id="33"/>
    </w:p>
    <w:p w14:paraId="2B58C433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Os contactos oficiais do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(CNCS) e do CERT.PT para efeitos de notificação de incidentes são os seguintes (a confirmar e atualizar regularmente no sítio web oficial do CNCS em www.cncs.gov.pt):</w:t>
      </w:r>
    </w:p>
    <w:p w14:paraId="076BABE4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CNCS —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: www.cncs.gov.pt</w:t>
      </w:r>
    </w:p>
    <w:p w14:paraId="48ADED0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Notificação de incidentes: [Consultar o portal do CNCS para o formulário e contactos atuais]</w:t>
      </w:r>
    </w:p>
    <w:p w14:paraId="536A3723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CERT.PT: cert.pt</w:t>
      </w:r>
    </w:p>
    <w:p w14:paraId="2CD20DF0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color w:val="374151"/>
          <w:sz w:val="22"/>
          <w:szCs w:val="22"/>
        </w:rPr>
        <w:t>Linha de apoio: [Consultar www.cncs.gov.pt para contacto atualizado]</w:t>
      </w:r>
    </w:p>
    <w:p w14:paraId="116D69F6" w14:textId="77777777" w:rsidR="00BF0272" w:rsidRDefault="00000000">
      <w:pPr>
        <w:pStyle w:val="Ttulo2"/>
        <w:spacing w:before="320" w:after="160"/>
      </w:pPr>
      <w:bookmarkStart w:id="34" w:name="_Toc235728027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Anexo B: Referência ao 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template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 de notificação ao CNCS</w:t>
      </w:r>
      <w:bookmarkEnd w:id="34"/>
    </w:p>
    <w:p w14:paraId="2D86B791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template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oficial de notificação de incidentes ao CNCS está disponível no portal do Centro Nacional de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Cibersegurança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em www.cncs.gov.pt. O ponto de contacto designado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. 32.º do DL 125/2025) é responsável por garantir que 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template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é utilizado de forma correta e que as notificações são enviadas dentro dos prazos estabelecidos no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a 44.º do DL 125/2025.</w:t>
      </w:r>
    </w:p>
    <w:p w14:paraId="243D0E2B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>A notificação deve incluir, no mínimo: identificação da entidade e do ponto de contacto, data e hora de deteção, descrição inicial do incidente, avaliação preliminar de gravidade e impacto, e medidas de contenção em curso.</w:t>
      </w:r>
    </w:p>
    <w:p w14:paraId="55554EF4" w14:textId="77777777" w:rsidR="00BF0272" w:rsidRDefault="00000000">
      <w:pPr>
        <w:pStyle w:val="Ttulo2"/>
        <w:spacing w:before="320" w:after="160"/>
      </w:pPr>
      <w:bookmarkStart w:id="35" w:name="_Toc235728028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Anexo C: 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Checklist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 de resposta a incidentes</w:t>
      </w:r>
      <w:bookmarkEnd w:id="35"/>
    </w:p>
    <w:p w14:paraId="44C2BD7C" w14:textId="77777777" w:rsidR="00BF0272" w:rsidRDefault="00000000">
      <w:pPr>
        <w:spacing w:after="160"/>
      </w:pPr>
      <w:r>
        <w:rPr>
          <w:rFonts w:ascii="Calibri" w:eastAsia="Calibri" w:hAnsi="Calibri" w:cs="Calibri"/>
          <w:color w:val="374151"/>
          <w:sz w:val="22"/>
          <w:szCs w:val="22"/>
        </w:rPr>
        <w:t xml:space="preserve">A seguinte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checklist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 xml:space="preserve"> deve ser utilizada em todos os incidentes de severidade Alta ou Crítica, assinalando cada item à medida que é concluído:</w:t>
      </w:r>
    </w:p>
    <w:p w14:paraId="7DEC058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Incidente detetado e registado no sistema de gestão de incidentes, com data e hora</w:t>
      </w:r>
    </w:p>
    <w:p w14:paraId="629CF0D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Incidente classificado segundo a escala de severidade (Secção 3)</w:t>
      </w:r>
    </w:p>
    <w:p w14:paraId="39CF8DF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Coordenador de incidentes notificado e a gerir a resposta</w:t>
      </w:r>
    </w:p>
    <w:p w14:paraId="6A86293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Equipa de resposta ativada em função da severidade</w:t>
      </w:r>
    </w:p>
    <w:p w14:paraId="37E87082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Avaliação inicial: o incidente é significativo nos termos do 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40.º do DL 125/2025?</w:t>
      </w:r>
    </w:p>
    <w:p w14:paraId="6B310E48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Se significativo: notificação inicial ao CNCS enviada dentro das 24 horas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n.º 1)</w:t>
      </w:r>
    </w:p>
    <w:p w14:paraId="53FDBEF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Medidas de contenção imediata implementadas e documentadas</w:t>
      </w:r>
    </w:p>
    <w:p w14:paraId="4892F4D9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Evidências preservadas segundo os princípios de forense digital</w:t>
      </w:r>
    </w:p>
    <w:p w14:paraId="48C805BE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Atualização da notificação ao CNCS enviada dentro das 72 horas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42.º n.º 3)</w:t>
      </w:r>
    </w:p>
    <w:p w14:paraId="3C912CDB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Erradicação da causa raiz concluída e verificada</w:t>
      </w:r>
    </w:p>
    <w:p w14:paraId="28729771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Recuperação dos sistemas realizada a partir de cópias de segurança validadas</w:t>
      </w:r>
    </w:p>
    <w:p w14:paraId="4F288146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Monitorização intensiva pós-recuperação iniciada</w:t>
      </w:r>
    </w:p>
    <w:p w14:paraId="5FF42F3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Notificação de fim de impacto enviada ao CNCS dentro de 24 horas após a resolução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43.º)</w:t>
      </w:r>
    </w:p>
    <w:p w14:paraId="35C57567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Reunião de lições aprendidas realizada dentro de duas semanas</w:t>
      </w:r>
    </w:p>
    <w:p w14:paraId="7335D15F" w14:textId="77777777" w:rsidR="00BF0272" w:rsidRDefault="00000000">
      <w:pPr>
        <w:pStyle w:val="PargrafodaLista"/>
        <w:numPr>
          <w:ilvl w:val="0"/>
          <w:numId w:val="1"/>
        </w:numPr>
        <w:spacing w:after="80"/>
      </w:pPr>
      <w:proofErr w:type="gramStart"/>
      <w:r>
        <w:rPr>
          <w:rFonts w:ascii="Calibri" w:eastAsia="Calibri" w:hAnsi="Calibri" w:cs="Calibri"/>
          <w:color w:val="374151"/>
          <w:sz w:val="22"/>
          <w:szCs w:val="22"/>
        </w:rPr>
        <w:t>[ ]</w:t>
      </w:r>
      <w:proofErr w:type="gramEnd"/>
      <w:r>
        <w:rPr>
          <w:rFonts w:ascii="Calibri" w:eastAsia="Calibri" w:hAnsi="Calibri" w:cs="Calibri"/>
          <w:color w:val="374151"/>
          <w:sz w:val="22"/>
          <w:szCs w:val="22"/>
        </w:rPr>
        <w:t xml:space="preserve"> Relatório final enviado ao CNCS dentro de 30 dias úteis após a notificação de fim de impacto (</w:t>
      </w:r>
      <w:proofErr w:type="spellStart"/>
      <w:r>
        <w:rPr>
          <w:rFonts w:ascii="Calibri" w:eastAsia="Calibri" w:hAnsi="Calibri" w:cs="Calibri"/>
          <w:color w:val="374151"/>
          <w:sz w:val="22"/>
          <w:szCs w:val="22"/>
        </w:rPr>
        <w:t>Art</w:t>
      </w:r>
      <w:proofErr w:type="spellEnd"/>
      <w:r>
        <w:rPr>
          <w:rFonts w:ascii="Calibri" w:eastAsia="Calibri" w:hAnsi="Calibri" w:cs="Calibri"/>
          <w:color w:val="374151"/>
          <w:sz w:val="22"/>
          <w:szCs w:val="22"/>
        </w:rPr>
        <w:t>. 44.º)</w:t>
      </w:r>
    </w:p>
    <w:p w14:paraId="72AE2B5C" w14:textId="77777777" w:rsidR="00BF0272" w:rsidRDefault="00000000">
      <w:pPr>
        <w:pStyle w:val="Ttulo1"/>
      </w:pPr>
      <w:bookmarkStart w:id="36" w:name="_Toc235728029"/>
      <w:r>
        <w:rPr>
          <w:b/>
          <w:color w:val="1E3A8A"/>
        </w:rPr>
        <w:lastRenderedPageBreak/>
        <w:t>Contexto de ameaças e regulação — atualização 2025-2026</w:t>
      </w:r>
      <w:bookmarkEnd w:id="36"/>
    </w:p>
    <w:p w14:paraId="1EC26062" w14:textId="77777777" w:rsidR="00BF0272" w:rsidRDefault="00000000">
      <w:r>
        <w:rPr>
          <w:color w:val="374151"/>
          <w:sz w:val="22"/>
        </w:rPr>
        <w:t>Os factos apresentados nesta secção baseiam-se em publicações oficiais ENISA (</w:t>
      </w:r>
      <w:proofErr w:type="spellStart"/>
      <w:r>
        <w:rPr>
          <w:color w:val="374151"/>
          <w:sz w:val="22"/>
        </w:rPr>
        <w:t>European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Union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Agency</w:t>
      </w:r>
      <w:proofErr w:type="spellEnd"/>
      <w:r>
        <w:rPr>
          <w:color w:val="374151"/>
          <w:sz w:val="22"/>
        </w:rPr>
        <w:t xml:space="preserve"> for </w:t>
      </w:r>
      <w:proofErr w:type="spellStart"/>
      <w:r>
        <w:rPr>
          <w:color w:val="374151"/>
          <w:sz w:val="22"/>
        </w:rPr>
        <w:t>Cybersecurity</w:t>
      </w:r>
      <w:proofErr w:type="spellEnd"/>
      <w:r>
        <w:rPr>
          <w:color w:val="374151"/>
          <w:sz w:val="22"/>
        </w:rPr>
        <w:t xml:space="preserve">), CNCS (Centro Nacional de </w:t>
      </w:r>
      <w:proofErr w:type="spellStart"/>
      <w:r>
        <w:rPr>
          <w:color w:val="374151"/>
          <w:sz w:val="22"/>
        </w:rPr>
        <w:t>Cibersegurança</w:t>
      </w:r>
      <w:proofErr w:type="spellEnd"/>
      <w:r>
        <w:rPr>
          <w:color w:val="374151"/>
          <w:sz w:val="22"/>
        </w:rPr>
        <w:t xml:space="preserve">), </w:t>
      </w:r>
      <w:proofErr w:type="gramStart"/>
      <w:r>
        <w:rPr>
          <w:color w:val="374151"/>
          <w:sz w:val="22"/>
        </w:rPr>
        <w:t>Diário</w:t>
      </w:r>
      <w:proofErr w:type="gramEnd"/>
      <w:r>
        <w:rPr>
          <w:color w:val="374151"/>
          <w:sz w:val="22"/>
        </w:rPr>
        <w:t xml:space="preserve"> da República e relatórios de </w:t>
      </w:r>
      <w:proofErr w:type="spellStart"/>
      <w:r>
        <w:rPr>
          <w:color w:val="374151"/>
          <w:sz w:val="22"/>
        </w:rPr>
        <w:t>threat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intelligence</w:t>
      </w:r>
      <w:proofErr w:type="spellEnd"/>
      <w:r>
        <w:rPr>
          <w:color w:val="374151"/>
          <w:sz w:val="22"/>
        </w:rPr>
        <w:t xml:space="preserve"> do período 2024-2026, disponíveis à data de publicação deste documento. A informação deve ser atualizada periodicamente conforme novas orientações sejam publicadas.</w:t>
      </w:r>
    </w:p>
    <w:p w14:paraId="21F8621A" w14:textId="77777777" w:rsidR="00BF0272" w:rsidRDefault="00BF0272"/>
    <w:p w14:paraId="50D83265" w14:textId="77777777" w:rsidR="00BF0272" w:rsidRDefault="00000000">
      <w:r>
        <w:rPr>
          <w:color w:val="374151"/>
          <w:sz w:val="22"/>
        </w:rPr>
        <w:t>Tabela 1 — Orientações regulatórias e técnicas 2024-2026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9"/>
        <w:gridCol w:w="1313"/>
        <w:gridCol w:w="1195"/>
        <w:gridCol w:w="1471"/>
        <w:gridCol w:w="3508"/>
      </w:tblGrid>
      <w:tr w:rsidR="00BF0272" w14:paraId="64CCF88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shd w:val="clear" w:color="1E3A8A" w:fill="1E3A8A"/>
            <w:vAlign w:val="center"/>
          </w:tcPr>
          <w:p w14:paraId="11123A51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Publicação</w:t>
            </w:r>
          </w:p>
        </w:tc>
        <w:tc>
          <w:tcPr>
            <w:tcW w:w="1805" w:type="dxa"/>
            <w:shd w:val="clear" w:color="1E3A8A" w:fill="1E3A8A"/>
            <w:vAlign w:val="center"/>
          </w:tcPr>
          <w:p w14:paraId="0353DEF1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Data</w:t>
            </w:r>
          </w:p>
        </w:tc>
        <w:tc>
          <w:tcPr>
            <w:tcW w:w="1805" w:type="dxa"/>
            <w:shd w:val="clear" w:color="1E3A8A" w:fill="1E3A8A"/>
            <w:vAlign w:val="center"/>
          </w:tcPr>
          <w:p w14:paraId="439C68CA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Emissor</w:t>
            </w:r>
          </w:p>
        </w:tc>
        <w:tc>
          <w:tcPr>
            <w:tcW w:w="1805" w:type="dxa"/>
            <w:shd w:val="clear" w:color="1E3A8A" w:fill="1E3A8A"/>
            <w:vAlign w:val="center"/>
          </w:tcPr>
          <w:p w14:paraId="626CF1CA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Aplicabilidade</w:t>
            </w:r>
          </w:p>
        </w:tc>
        <w:tc>
          <w:tcPr>
            <w:tcW w:w="1805" w:type="dxa"/>
            <w:shd w:val="clear" w:color="1E3A8A" w:fill="1E3A8A"/>
            <w:vAlign w:val="center"/>
          </w:tcPr>
          <w:p w14:paraId="0884AC27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Referência URL</w:t>
            </w:r>
          </w:p>
        </w:tc>
      </w:tr>
      <w:tr w:rsidR="00BF0272" w:rsidRPr="004528F4" w14:paraId="706B181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66670BD" w14:textId="77777777" w:rsidR="00BF0272" w:rsidRPr="004528F4" w:rsidRDefault="00000000">
            <w:pPr>
              <w:rPr>
                <w:lang w:val="en-US"/>
              </w:rPr>
            </w:pPr>
            <w:r w:rsidRPr="004528F4">
              <w:rPr>
                <w:color w:val="374151"/>
                <w:sz w:val="22"/>
                <w:lang w:val="en-US"/>
              </w:rPr>
              <w:t>ENISA Technical Implementation Guidance v1.0</w:t>
            </w:r>
          </w:p>
        </w:tc>
        <w:tc>
          <w:tcPr>
            <w:tcW w:w="1805" w:type="dxa"/>
          </w:tcPr>
          <w:p w14:paraId="42FFD083" w14:textId="77777777" w:rsidR="00BF0272" w:rsidRDefault="00000000">
            <w:r>
              <w:rPr>
                <w:color w:val="374151"/>
                <w:sz w:val="22"/>
              </w:rPr>
              <w:t xml:space="preserve">26 </w:t>
            </w:r>
            <w:proofErr w:type="spellStart"/>
            <w:r>
              <w:rPr>
                <w:color w:val="374151"/>
                <w:sz w:val="22"/>
              </w:rPr>
              <w:t>Jun</w:t>
            </w:r>
            <w:proofErr w:type="spellEnd"/>
            <w:r>
              <w:rPr>
                <w:color w:val="374151"/>
                <w:sz w:val="22"/>
              </w:rPr>
              <w:t xml:space="preserve"> 2025</w:t>
            </w:r>
          </w:p>
        </w:tc>
        <w:tc>
          <w:tcPr>
            <w:tcW w:w="1805" w:type="dxa"/>
          </w:tcPr>
          <w:p w14:paraId="6AEF00DD" w14:textId="77777777" w:rsidR="00BF0272" w:rsidRDefault="00000000">
            <w:r>
              <w:rPr>
                <w:color w:val="374151"/>
                <w:sz w:val="22"/>
              </w:rPr>
              <w:t>ENISA</w:t>
            </w:r>
          </w:p>
        </w:tc>
        <w:tc>
          <w:tcPr>
            <w:tcW w:w="1805" w:type="dxa"/>
          </w:tcPr>
          <w:p w14:paraId="6E00FEDE" w14:textId="77777777" w:rsidR="00BF0272" w:rsidRDefault="00000000">
            <w:r>
              <w:rPr>
                <w:color w:val="374151"/>
                <w:sz w:val="22"/>
              </w:rPr>
              <w:t>Infraestrutura digital, gestão serviços TIC, fornecedores digitais NIS2</w:t>
            </w:r>
          </w:p>
        </w:tc>
        <w:tc>
          <w:tcPr>
            <w:tcW w:w="1805" w:type="dxa"/>
          </w:tcPr>
          <w:p w14:paraId="373E69BC" w14:textId="77777777" w:rsidR="00BF0272" w:rsidRPr="004528F4" w:rsidRDefault="00000000">
            <w:pPr>
              <w:rPr>
                <w:lang w:val="en-US"/>
              </w:rPr>
            </w:pPr>
            <w:r w:rsidRPr="004528F4">
              <w:rPr>
                <w:color w:val="374151"/>
                <w:sz w:val="22"/>
                <w:lang w:val="en-US"/>
              </w:rPr>
              <w:t>enisa.europa.eu/publications/nis2-technical-implementation-guidance</w:t>
            </w:r>
          </w:p>
        </w:tc>
      </w:tr>
      <w:tr w:rsidR="00BF0272" w14:paraId="67EF076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5788903C" w14:textId="77777777" w:rsidR="00BF0272" w:rsidRDefault="00000000">
            <w:proofErr w:type="spellStart"/>
            <w:r>
              <w:rPr>
                <w:color w:val="374151"/>
                <w:sz w:val="22"/>
              </w:rPr>
              <w:t>Commission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Implementing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Regulation</w:t>
            </w:r>
            <w:proofErr w:type="spellEnd"/>
            <w:r>
              <w:rPr>
                <w:color w:val="374151"/>
                <w:sz w:val="22"/>
              </w:rPr>
              <w:t xml:space="preserve"> (EU) 2024/2690</w:t>
            </w:r>
          </w:p>
        </w:tc>
        <w:tc>
          <w:tcPr>
            <w:tcW w:w="1805" w:type="dxa"/>
          </w:tcPr>
          <w:p w14:paraId="2D123221" w14:textId="77777777" w:rsidR="00BF0272" w:rsidRDefault="00000000">
            <w:r>
              <w:rPr>
                <w:color w:val="374151"/>
                <w:sz w:val="22"/>
              </w:rPr>
              <w:t xml:space="preserve">17 Out 2024 (em vigor 7 </w:t>
            </w:r>
            <w:proofErr w:type="spellStart"/>
            <w:r>
              <w:rPr>
                <w:color w:val="374151"/>
                <w:sz w:val="22"/>
              </w:rPr>
              <w:t>Nov</w:t>
            </w:r>
            <w:proofErr w:type="spellEnd"/>
            <w:r>
              <w:rPr>
                <w:color w:val="374151"/>
                <w:sz w:val="22"/>
              </w:rPr>
              <w:t xml:space="preserve"> 2024)</w:t>
            </w:r>
          </w:p>
        </w:tc>
        <w:tc>
          <w:tcPr>
            <w:tcW w:w="1805" w:type="dxa"/>
          </w:tcPr>
          <w:p w14:paraId="2E19D7C8" w14:textId="77777777" w:rsidR="00BF0272" w:rsidRDefault="00000000">
            <w:r>
              <w:rPr>
                <w:color w:val="374151"/>
                <w:sz w:val="22"/>
              </w:rPr>
              <w:t xml:space="preserve">Comissão </w:t>
            </w:r>
            <w:proofErr w:type="gramStart"/>
            <w:r>
              <w:rPr>
                <w:color w:val="374151"/>
                <w:sz w:val="22"/>
              </w:rPr>
              <w:t>Europeia</w:t>
            </w:r>
            <w:proofErr w:type="gramEnd"/>
          </w:p>
        </w:tc>
        <w:tc>
          <w:tcPr>
            <w:tcW w:w="1805" w:type="dxa"/>
          </w:tcPr>
          <w:p w14:paraId="3077EB8C" w14:textId="77777777" w:rsidR="00BF0272" w:rsidRDefault="00000000">
            <w:r>
              <w:rPr>
                <w:color w:val="374151"/>
                <w:sz w:val="22"/>
              </w:rPr>
              <w:t>Regras aplicação NIS2 para serviços digitais</w:t>
            </w:r>
          </w:p>
        </w:tc>
        <w:tc>
          <w:tcPr>
            <w:tcW w:w="1805" w:type="dxa"/>
          </w:tcPr>
          <w:p w14:paraId="0394362D" w14:textId="77777777" w:rsidR="00BF0272" w:rsidRDefault="00000000">
            <w:r>
              <w:rPr>
                <w:color w:val="374151"/>
                <w:sz w:val="22"/>
              </w:rPr>
              <w:t>eur-lex.europa.eu/</w:t>
            </w:r>
            <w:proofErr w:type="spellStart"/>
            <w:r>
              <w:rPr>
                <w:color w:val="374151"/>
                <w:sz w:val="22"/>
              </w:rPr>
              <w:t>eli</w:t>
            </w:r>
            <w:proofErr w:type="spellEnd"/>
            <w:r>
              <w:rPr>
                <w:color w:val="374151"/>
                <w:sz w:val="22"/>
              </w:rPr>
              <w:t>/</w:t>
            </w:r>
            <w:proofErr w:type="spellStart"/>
            <w:r>
              <w:rPr>
                <w:color w:val="374151"/>
                <w:sz w:val="22"/>
              </w:rPr>
              <w:t>reg_impl</w:t>
            </w:r>
            <w:proofErr w:type="spellEnd"/>
            <w:r>
              <w:rPr>
                <w:color w:val="374151"/>
                <w:sz w:val="22"/>
              </w:rPr>
              <w:t>/2024/2690</w:t>
            </w:r>
          </w:p>
        </w:tc>
      </w:tr>
      <w:tr w:rsidR="00BF0272" w14:paraId="1291F2B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57FCF1CF" w14:textId="77777777" w:rsidR="00BF0272" w:rsidRDefault="00000000">
            <w:r>
              <w:rPr>
                <w:color w:val="374151"/>
                <w:sz w:val="22"/>
              </w:rPr>
              <w:t>Decreto-Lei n.º 125/2025</w:t>
            </w:r>
          </w:p>
        </w:tc>
        <w:tc>
          <w:tcPr>
            <w:tcW w:w="1805" w:type="dxa"/>
          </w:tcPr>
          <w:p w14:paraId="1DD56CCA" w14:textId="77777777" w:rsidR="00BF0272" w:rsidRDefault="00000000">
            <w:r>
              <w:rPr>
                <w:color w:val="374151"/>
                <w:sz w:val="22"/>
              </w:rPr>
              <w:t>4 Dez 2025 (entra vigor Abril 2026, 120 dias)</w:t>
            </w:r>
          </w:p>
        </w:tc>
        <w:tc>
          <w:tcPr>
            <w:tcW w:w="1805" w:type="dxa"/>
          </w:tcPr>
          <w:p w14:paraId="1FBB4C04" w14:textId="77777777" w:rsidR="00BF0272" w:rsidRDefault="00000000">
            <w:r>
              <w:rPr>
                <w:color w:val="374151"/>
                <w:sz w:val="22"/>
              </w:rPr>
              <w:t>Assembleia da República / Governo PT</w:t>
            </w:r>
          </w:p>
        </w:tc>
        <w:tc>
          <w:tcPr>
            <w:tcW w:w="1805" w:type="dxa"/>
          </w:tcPr>
          <w:p w14:paraId="6F5FE5A1" w14:textId="77777777" w:rsidR="00BF0272" w:rsidRDefault="00000000">
            <w:r>
              <w:rPr>
                <w:color w:val="374151"/>
                <w:sz w:val="22"/>
              </w:rPr>
              <w:t>Transposição NIS2 para Portugal</w:t>
            </w:r>
          </w:p>
        </w:tc>
        <w:tc>
          <w:tcPr>
            <w:tcW w:w="1805" w:type="dxa"/>
          </w:tcPr>
          <w:p w14:paraId="4CF949D3" w14:textId="77777777" w:rsidR="00BF0272" w:rsidRDefault="00000000">
            <w:r>
              <w:rPr>
                <w:color w:val="374151"/>
                <w:sz w:val="22"/>
              </w:rPr>
              <w:t>diariodarepublica.pt/</w:t>
            </w:r>
            <w:proofErr w:type="spellStart"/>
            <w:r>
              <w:rPr>
                <w:color w:val="374151"/>
                <w:sz w:val="22"/>
              </w:rPr>
              <w:t>dr</w:t>
            </w:r>
            <w:proofErr w:type="spellEnd"/>
            <w:r>
              <w:rPr>
                <w:color w:val="374151"/>
                <w:sz w:val="22"/>
              </w:rPr>
              <w:t>/detalhe/decreto-lei/125-2025</w:t>
            </w:r>
          </w:p>
        </w:tc>
      </w:tr>
      <w:tr w:rsidR="00BF0272" w14:paraId="78D5134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418AF12" w14:textId="77777777" w:rsidR="00BF0272" w:rsidRDefault="00000000">
            <w:r>
              <w:rPr>
                <w:color w:val="374151"/>
                <w:sz w:val="22"/>
              </w:rPr>
              <w:t xml:space="preserve">QNRCS (Quadro Nacional Referência </w:t>
            </w:r>
            <w:proofErr w:type="spellStart"/>
            <w:r>
              <w:rPr>
                <w:color w:val="374151"/>
                <w:sz w:val="22"/>
              </w:rPr>
              <w:t>Cibersegurança</w:t>
            </w:r>
            <w:proofErr w:type="spellEnd"/>
            <w:r>
              <w:rPr>
                <w:color w:val="374151"/>
                <w:sz w:val="22"/>
              </w:rPr>
              <w:t>)</w:t>
            </w:r>
          </w:p>
        </w:tc>
        <w:tc>
          <w:tcPr>
            <w:tcW w:w="1805" w:type="dxa"/>
          </w:tcPr>
          <w:p w14:paraId="42010A8C" w14:textId="77777777" w:rsidR="00BF0272" w:rsidRDefault="00000000">
            <w:r>
              <w:rPr>
                <w:color w:val="374151"/>
                <w:sz w:val="22"/>
              </w:rPr>
              <w:t>Atualização prevista 2026 (</w:t>
            </w:r>
            <w:proofErr w:type="spellStart"/>
            <w:r>
              <w:rPr>
                <w:color w:val="374151"/>
                <w:sz w:val="22"/>
              </w:rPr>
              <w:t>Art</w:t>
            </w:r>
            <w:proofErr w:type="spellEnd"/>
            <w:r>
              <w:rPr>
                <w:color w:val="374151"/>
                <w:sz w:val="22"/>
              </w:rPr>
              <w:t>. 14.º DL 125/2025)</w:t>
            </w:r>
          </w:p>
        </w:tc>
        <w:tc>
          <w:tcPr>
            <w:tcW w:w="1805" w:type="dxa"/>
          </w:tcPr>
          <w:p w14:paraId="3CFE81DD" w14:textId="77777777" w:rsidR="00BF0272" w:rsidRDefault="00000000">
            <w:r>
              <w:rPr>
                <w:color w:val="374151"/>
                <w:sz w:val="22"/>
              </w:rPr>
              <w:t>CNCS</w:t>
            </w:r>
          </w:p>
        </w:tc>
        <w:tc>
          <w:tcPr>
            <w:tcW w:w="1805" w:type="dxa"/>
          </w:tcPr>
          <w:p w14:paraId="0AC8CF6F" w14:textId="77777777" w:rsidR="00BF0272" w:rsidRDefault="00000000">
            <w:r>
              <w:rPr>
                <w:color w:val="374151"/>
                <w:sz w:val="22"/>
              </w:rPr>
              <w:t>Modelo estruturado PT para conformidade</w:t>
            </w:r>
          </w:p>
        </w:tc>
        <w:tc>
          <w:tcPr>
            <w:tcW w:w="1805" w:type="dxa"/>
          </w:tcPr>
          <w:p w14:paraId="54CA8820" w14:textId="77777777" w:rsidR="00BF0272" w:rsidRDefault="00000000">
            <w:r>
              <w:rPr>
                <w:color w:val="374151"/>
                <w:sz w:val="22"/>
              </w:rPr>
              <w:t>cncs.gov.pt/</w:t>
            </w:r>
            <w:proofErr w:type="spellStart"/>
            <w:r>
              <w:rPr>
                <w:color w:val="374151"/>
                <w:sz w:val="22"/>
              </w:rPr>
              <w:t>pt</w:t>
            </w:r>
            <w:proofErr w:type="spellEnd"/>
            <w:r>
              <w:rPr>
                <w:color w:val="374151"/>
                <w:sz w:val="22"/>
              </w:rPr>
              <w:t>/quadro-nacional</w:t>
            </w:r>
          </w:p>
        </w:tc>
      </w:tr>
      <w:tr w:rsidR="00BF0272" w14:paraId="434468B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15295D1" w14:textId="77777777" w:rsidR="00BF0272" w:rsidRDefault="00000000">
            <w:r>
              <w:rPr>
                <w:color w:val="374151"/>
                <w:sz w:val="22"/>
              </w:rPr>
              <w:t xml:space="preserve">Projeto Regulamento </w:t>
            </w:r>
            <w:proofErr w:type="spellStart"/>
            <w:r>
              <w:rPr>
                <w:color w:val="374151"/>
                <w:sz w:val="22"/>
              </w:rPr>
              <w:t>Cibersegurança</w:t>
            </w:r>
            <w:proofErr w:type="spellEnd"/>
            <w:r>
              <w:rPr>
                <w:color w:val="374151"/>
                <w:sz w:val="22"/>
              </w:rPr>
              <w:t xml:space="preserve"> CNCS</w:t>
            </w:r>
          </w:p>
        </w:tc>
        <w:tc>
          <w:tcPr>
            <w:tcW w:w="1805" w:type="dxa"/>
          </w:tcPr>
          <w:p w14:paraId="784A3DC7" w14:textId="77777777" w:rsidR="00BF0272" w:rsidRDefault="00000000">
            <w:r>
              <w:rPr>
                <w:color w:val="374151"/>
                <w:sz w:val="22"/>
              </w:rPr>
              <w:t>Consulta pública Mar 2026</w:t>
            </w:r>
          </w:p>
        </w:tc>
        <w:tc>
          <w:tcPr>
            <w:tcW w:w="1805" w:type="dxa"/>
          </w:tcPr>
          <w:p w14:paraId="5330E6BD" w14:textId="77777777" w:rsidR="00BF0272" w:rsidRDefault="00000000">
            <w:r>
              <w:rPr>
                <w:color w:val="374151"/>
                <w:sz w:val="22"/>
              </w:rPr>
              <w:t>CNCS</w:t>
            </w:r>
          </w:p>
        </w:tc>
        <w:tc>
          <w:tcPr>
            <w:tcW w:w="1805" w:type="dxa"/>
          </w:tcPr>
          <w:p w14:paraId="1610CCC9" w14:textId="77777777" w:rsidR="00BF0272" w:rsidRDefault="00000000">
            <w:r>
              <w:rPr>
                <w:color w:val="374151"/>
                <w:sz w:val="22"/>
              </w:rPr>
              <w:t>Termos práticos aplicação DL 125/2025</w:t>
            </w:r>
          </w:p>
        </w:tc>
        <w:tc>
          <w:tcPr>
            <w:tcW w:w="1805" w:type="dxa"/>
          </w:tcPr>
          <w:p w14:paraId="1D8CF29E" w14:textId="77777777" w:rsidR="00BF0272" w:rsidRDefault="00000000">
            <w:r>
              <w:rPr>
                <w:color w:val="374151"/>
                <w:sz w:val="22"/>
              </w:rPr>
              <w:t>consultar CNCS</w:t>
            </w:r>
          </w:p>
        </w:tc>
      </w:tr>
      <w:tr w:rsidR="00BF0272" w:rsidRPr="004528F4" w14:paraId="7AF7159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32715194" w14:textId="77777777" w:rsidR="00BF0272" w:rsidRDefault="00000000">
            <w:r>
              <w:rPr>
                <w:color w:val="374151"/>
                <w:sz w:val="22"/>
              </w:rPr>
              <w:t xml:space="preserve">ENISA </w:t>
            </w:r>
            <w:proofErr w:type="spellStart"/>
            <w:r>
              <w:rPr>
                <w:color w:val="374151"/>
                <w:sz w:val="22"/>
              </w:rPr>
              <w:t>Threat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Landscape</w:t>
            </w:r>
            <w:proofErr w:type="spellEnd"/>
            <w:r>
              <w:rPr>
                <w:color w:val="374151"/>
                <w:sz w:val="22"/>
              </w:rPr>
              <w:t xml:space="preserve"> 2025</w:t>
            </w:r>
          </w:p>
        </w:tc>
        <w:tc>
          <w:tcPr>
            <w:tcW w:w="1805" w:type="dxa"/>
          </w:tcPr>
          <w:p w14:paraId="4053573C" w14:textId="77777777" w:rsidR="00BF0272" w:rsidRDefault="00000000">
            <w:r>
              <w:rPr>
                <w:color w:val="374151"/>
                <w:sz w:val="22"/>
              </w:rPr>
              <w:t>Out 2025</w:t>
            </w:r>
          </w:p>
        </w:tc>
        <w:tc>
          <w:tcPr>
            <w:tcW w:w="1805" w:type="dxa"/>
          </w:tcPr>
          <w:p w14:paraId="584662AD" w14:textId="77777777" w:rsidR="00BF0272" w:rsidRDefault="00000000">
            <w:r>
              <w:rPr>
                <w:color w:val="374151"/>
                <w:sz w:val="22"/>
              </w:rPr>
              <w:t>ENISA</w:t>
            </w:r>
          </w:p>
        </w:tc>
        <w:tc>
          <w:tcPr>
            <w:tcW w:w="1805" w:type="dxa"/>
          </w:tcPr>
          <w:p w14:paraId="1F44646F" w14:textId="77777777" w:rsidR="00BF0272" w:rsidRDefault="00000000">
            <w:r>
              <w:rPr>
                <w:color w:val="374151"/>
                <w:sz w:val="22"/>
              </w:rPr>
              <w:t xml:space="preserve">4.875 incidentes analisados </w:t>
            </w:r>
            <w:proofErr w:type="spellStart"/>
            <w:r>
              <w:rPr>
                <w:color w:val="374151"/>
                <w:sz w:val="22"/>
              </w:rPr>
              <w:t>jul</w:t>
            </w:r>
            <w:proofErr w:type="spellEnd"/>
            <w:r>
              <w:rPr>
                <w:color w:val="374151"/>
                <w:sz w:val="22"/>
              </w:rPr>
              <w:t xml:space="preserve"> 2024 - </w:t>
            </w:r>
            <w:proofErr w:type="spellStart"/>
            <w:r>
              <w:rPr>
                <w:color w:val="374151"/>
                <w:sz w:val="22"/>
              </w:rPr>
              <w:t>jun</w:t>
            </w:r>
            <w:proofErr w:type="spellEnd"/>
            <w:r>
              <w:rPr>
                <w:color w:val="374151"/>
                <w:sz w:val="22"/>
              </w:rPr>
              <w:t xml:space="preserve"> 2025</w:t>
            </w:r>
          </w:p>
        </w:tc>
        <w:tc>
          <w:tcPr>
            <w:tcW w:w="1805" w:type="dxa"/>
          </w:tcPr>
          <w:p w14:paraId="1DCDCB25" w14:textId="77777777" w:rsidR="00BF0272" w:rsidRPr="004528F4" w:rsidRDefault="00000000">
            <w:pPr>
              <w:rPr>
                <w:lang w:val="en-US"/>
              </w:rPr>
            </w:pPr>
            <w:r w:rsidRPr="004528F4">
              <w:rPr>
                <w:color w:val="374151"/>
                <w:sz w:val="22"/>
                <w:lang w:val="en-US"/>
              </w:rPr>
              <w:t>enisa.europa.eu/publications/enisa-threat-landscape-2025</w:t>
            </w:r>
          </w:p>
        </w:tc>
      </w:tr>
      <w:tr w:rsidR="00BF0272" w14:paraId="0982F3F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404492C" w14:textId="77777777" w:rsidR="00BF0272" w:rsidRDefault="00000000">
            <w:r>
              <w:rPr>
                <w:color w:val="374151"/>
                <w:sz w:val="22"/>
              </w:rPr>
              <w:t>BSI TR-03183-2</w:t>
            </w:r>
          </w:p>
        </w:tc>
        <w:tc>
          <w:tcPr>
            <w:tcW w:w="1805" w:type="dxa"/>
          </w:tcPr>
          <w:p w14:paraId="63781EFC" w14:textId="77777777" w:rsidR="00BF0272" w:rsidRDefault="00000000">
            <w:r>
              <w:rPr>
                <w:color w:val="374151"/>
                <w:sz w:val="22"/>
              </w:rPr>
              <w:t>Ago 2025</w:t>
            </w:r>
          </w:p>
        </w:tc>
        <w:tc>
          <w:tcPr>
            <w:tcW w:w="1805" w:type="dxa"/>
          </w:tcPr>
          <w:p w14:paraId="12498915" w14:textId="77777777" w:rsidR="00BF0272" w:rsidRDefault="00000000">
            <w:r>
              <w:rPr>
                <w:color w:val="374151"/>
                <w:sz w:val="22"/>
              </w:rPr>
              <w:t>BSI Alemanha</w:t>
            </w:r>
          </w:p>
        </w:tc>
        <w:tc>
          <w:tcPr>
            <w:tcW w:w="1805" w:type="dxa"/>
          </w:tcPr>
          <w:p w14:paraId="2A1CB4CF" w14:textId="77777777" w:rsidR="00BF0272" w:rsidRDefault="00000000">
            <w:r>
              <w:rPr>
                <w:color w:val="374151"/>
                <w:sz w:val="22"/>
              </w:rPr>
              <w:t xml:space="preserve">Requisitos SBOM (SPDX + </w:t>
            </w:r>
            <w:proofErr w:type="spellStart"/>
            <w:r>
              <w:rPr>
                <w:color w:val="374151"/>
                <w:sz w:val="22"/>
              </w:rPr>
              <w:t>CycloneDX</w:t>
            </w:r>
            <w:proofErr w:type="spellEnd"/>
            <w:r>
              <w:rPr>
                <w:color w:val="374151"/>
                <w:sz w:val="22"/>
              </w:rPr>
              <w:t>)</w:t>
            </w:r>
          </w:p>
        </w:tc>
        <w:tc>
          <w:tcPr>
            <w:tcW w:w="1805" w:type="dxa"/>
          </w:tcPr>
          <w:p w14:paraId="2A513C4C" w14:textId="77777777" w:rsidR="00BF0272" w:rsidRDefault="00000000">
            <w:r>
              <w:rPr>
                <w:color w:val="374151"/>
                <w:sz w:val="22"/>
              </w:rPr>
              <w:t>bsi.bund.de</w:t>
            </w:r>
          </w:p>
        </w:tc>
      </w:tr>
      <w:tr w:rsidR="00BF0272" w14:paraId="2860988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FD55790" w14:textId="77777777" w:rsidR="00BF0272" w:rsidRDefault="00000000">
            <w:proofErr w:type="spellStart"/>
            <w:r>
              <w:rPr>
                <w:color w:val="374151"/>
                <w:sz w:val="22"/>
              </w:rPr>
              <w:t>Directiva</w:t>
            </w:r>
            <w:proofErr w:type="spellEnd"/>
            <w:r>
              <w:rPr>
                <w:color w:val="374151"/>
                <w:sz w:val="22"/>
              </w:rPr>
              <w:t xml:space="preserve"> NIS2 (UE) 2022/2555</w:t>
            </w:r>
          </w:p>
        </w:tc>
        <w:tc>
          <w:tcPr>
            <w:tcW w:w="1805" w:type="dxa"/>
          </w:tcPr>
          <w:p w14:paraId="368D288C" w14:textId="77777777" w:rsidR="00BF0272" w:rsidRDefault="00000000">
            <w:r>
              <w:rPr>
                <w:color w:val="374151"/>
                <w:sz w:val="22"/>
              </w:rPr>
              <w:t>14 Dez 2022 (transposição obrigatória 17 Out 2024)</w:t>
            </w:r>
          </w:p>
        </w:tc>
        <w:tc>
          <w:tcPr>
            <w:tcW w:w="1805" w:type="dxa"/>
          </w:tcPr>
          <w:p w14:paraId="605958CD" w14:textId="77777777" w:rsidR="00BF0272" w:rsidRDefault="00000000">
            <w:r>
              <w:rPr>
                <w:color w:val="374151"/>
                <w:sz w:val="22"/>
              </w:rPr>
              <w:t xml:space="preserve">Parlamento </w:t>
            </w:r>
            <w:proofErr w:type="gramStart"/>
            <w:r>
              <w:rPr>
                <w:color w:val="374151"/>
                <w:sz w:val="22"/>
              </w:rPr>
              <w:t>Europeu</w:t>
            </w:r>
            <w:proofErr w:type="gramEnd"/>
          </w:p>
        </w:tc>
        <w:tc>
          <w:tcPr>
            <w:tcW w:w="1805" w:type="dxa"/>
          </w:tcPr>
          <w:p w14:paraId="5EB0976C" w14:textId="77777777" w:rsidR="00BF0272" w:rsidRDefault="00000000">
            <w:r>
              <w:rPr>
                <w:color w:val="374151"/>
                <w:sz w:val="22"/>
              </w:rPr>
              <w:t>Base legal UE</w:t>
            </w:r>
          </w:p>
        </w:tc>
        <w:tc>
          <w:tcPr>
            <w:tcW w:w="1805" w:type="dxa"/>
          </w:tcPr>
          <w:p w14:paraId="37ADFA1A" w14:textId="77777777" w:rsidR="00BF0272" w:rsidRDefault="00000000">
            <w:r>
              <w:rPr>
                <w:color w:val="374151"/>
                <w:sz w:val="22"/>
              </w:rPr>
              <w:t>eur-lex.europa.eu/</w:t>
            </w:r>
            <w:proofErr w:type="spellStart"/>
            <w:r>
              <w:rPr>
                <w:color w:val="374151"/>
                <w:sz w:val="22"/>
              </w:rPr>
              <w:t>eli</w:t>
            </w:r>
            <w:proofErr w:type="spellEnd"/>
            <w:r>
              <w:rPr>
                <w:color w:val="374151"/>
                <w:sz w:val="22"/>
              </w:rPr>
              <w:t>/</w:t>
            </w:r>
            <w:proofErr w:type="spellStart"/>
            <w:r>
              <w:rPr>
                <w:color w:val="374151"/>
                <w:sz w:val="22"/>
              </w:rPr>
              <w:t>dir</w:t>
            </w:r>
            <w:proofErr w:type="spellEnd"/>
            <w:r>
              <w:rPr>
                <w:color w:val="374151"/>
                <w:sz w:val="22"/>
              </w:rPr>
              <w:t>/2022/2555</w:t>
            </w:r>
          </w:p>
        </w:tc>
      </w:tr>
    </w:tbl>
    <w:p w14:paraId="1CC942A6" w14:textId="77777777" w:rsidR="00BF0272" w:rsidRDefault="00BF0272"/>
    <w:p w14:paraId="700EA395" w14:textId="77777777" w:rsidR="00BF0272" w:rsidRDefault="00000000">
      <w:r>
        <w:rPr>
          <w:color w:val="374151"/>
          <w:sz w:val="22"/>
        </w:rPr>
        <w:t xml:space="preserve">Tabela 2 — Cenário de ameaças ENISA </w:t>
      </w:r>
      <w:proofErr w:type="spellStart"/>
      <w:r>
        <w:rPr>
          <w:color w:val="374151"/>
          <w:sz w:val="22"/>
        </w:rPr>
        <w:t>Threat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Landscape</w:t>
      </w:r>
      <w:proofErr w:type="spellEnd"/>
      <w:r>
        <w:rPr>
          <w:color w:val="374151"/>
          <w:sz w:val="22"/>
        </w:rPr>
        <w:t xml:space="preserve"> 2025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F0272" w14:paraId="4B5FA11E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  <w:shd w:val="clear" w:color="1E3A8A" w:fill="1E3A8A"/>
            <w:vAlign w:val="center"/>
          </w:tcPr>
          <w:p w14:paraId="7CA67DB1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w="3009" w:type="dxa"/>
            <w:shd w:val="clear" w:color="1E3A8A" w:fill="1E3A8A"/>
            <w:vAlign w:val="center"/>
          </w:tcPr>
          <w:p w14:paraId="1A30E52A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Valor</w:t>
            </w:r>
          </w:p>
        </w:tc>
        <w:tc>
          <w:tcPr>
            <w:tcW w:w="3009" w:type="dxa"/>
            <w:shd w:val="clear" w:color="1E3A8A" w:fill="1E3A8A"/>
            <w:vAlign w:val="center"/>
          </w:tcPr>
          <w:p w14:paraId="60D44B75" w14:textId="77777777" w:rsidR="00BF0272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Observação</w:t>
            </w:r>
          </w:p>
        </w:tc>
      </w:tr>
      <w:tr w:rsidR="00BF0272" w14:paraId="266EE983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2EB4DF08" w14:textId="77777777" w:rsidR="00BF0272" w:rsidRDefault="00000000">
            <w:proofErr w:type="gramStart"/>
            <w:r>
              <w:rPr>
                <w:color w:val="374151"/>
                <w:sz w:val="22"/>
              </w:rPr>
              <w:t>Total incidentes</w:t>
            </w:r>
            <w:proofErr w:type="gramEnd"/>
            <w:r>
              <w:rPr>
                <w:color w:val="374151"/>
                <w:sz w:val="22"/>
              </w:rPr>
              <w:t xml:space="preserve"> analisados (</w:t>
            </w:r>
            <w:proofErr w:type="spellStart"/>
            <w:r>
              <w:rPr>
                <w:color w:val="374151"/>
                <w:sz w:val="22"/>
              </w:rPr>
              <w:t>jul</w:t>
            </w:r>
            <w:proofErr w:type="spellEnd"/>
            <w:r>
              <w:rPr>
                <w:color w:val="374151"/>
                <w:sz w:val="22"/>
              </w:rPr>
              <w:t xml:space="preserve"> 2024 - </w:t>
            </w:r>
            <w:proofErr w:type="spellStart"/>
            <w:r>
              <w:rPr>
                <w:color w:val="374151"/>
                <w:sz w:val="22"/>
              </w:rPr>
              <w:t>jun</w:t>
            </w:r>
            <w:proofErr w:type="spellEnd"/>
            <w:r>
              <w:rPr>
                <w:color w:val="374151"/>
                <w:sz w:val="22"/>
              </w:rPr>
              <w:t xml:space="preserve"> 2025)</w:t>
            </w:r>
          </w:p>
        </w:tc>
        <w:tc>
          <w:tcPr>
            <w:tcW w:w="3009" w:type="dxa"/>
          </w:tcPr>
          <w:p w14:paraId="6BDCF54B" w14:textId="77777777" w:rsidR="00BF0272" w:rsidRDefault="00000000">
            <w:r>
              <w:rPr>
                <w:color w:val="374151"/>
                <w:sz w:val="22"/>
              </w:rPr>
              <w:t>4.875</w:t>
            </w:r>
          </w:p>
        </w:tc>
        <w:tc>
          <w:tcPr>
            <w:tcW w:w="3009" w:type="dxa"/>
          </w:tcPr>
          <w:p w14:paraId="16BB31B7" w14:textId="77777777" w:rsidR="00BF0272" w:rsidRDefault="00000000">
            <w:r>
              <w:rPr>
                <w:color w:val="374151"/>
                <w:sz w:val="22"/>
              </w:rPr>
              <w:t>Dados compilados pelo CSIRT Network</w:t>
            </w:r>
          </w:p>
        </w:tc>
      </w:tr>
      <w:tr w:rsidR="00BF0272" w14:paraId="0273A2BF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08010AA1" w14:textId="77777777" w:rsidR="00BF0272" w:rsidRDefault="00000000">
            <w:r>
              <w:rPr>
                <w:color w:val="374151"/>
                <w:sz w:val="22"/>
              </w:rPr>
              <w:t xml:space="preserve">% </w:t>
            </w:r>
            <w:proofErr w:type="spellStart"/>
            <w:r>
              <w:rPr>
                <w:color w:val="374151"/>
                <w:sz w:val="22"/>
              </w:rPr>
              <w:t>cybercrime</w:t>
            </w:r>
            <w:proofErr w:type="spellEnd"/>
            <w:r>
              <w:rPr>
                <w:color w:val="374151"/>
                <w:sz w:val="22"/>
              </w:rPr>
              <w:t xml:space="preserve">: </w:t>
            </w:r>
            <w:proofErr w:type="spellStart"/>
            <w:r>
              <w:rPr>
                <w:color w:val="374151"/>
                <w:sz w:val="22"/>
              </w:rPr>
              <w:t>ransomware</w:t>
            </w:r>
            <w:proofErr w:type="spellEnd"/>
          </w:p>
        </w:tc>
        <w:tc>
          <w:tcPr>
            <w:tcW w:w="3009" w:type="dxa"/>
          </w:tcPr>
          <w:p w14:paraId="2B017345" w14:textId="77777777" w:rsidR="00BF0272" w:rsidRDefault="00000000">
            <w:r>
              <w:rPr>
                <w:color w:val="374151"/>
                <w:sz w:val="22"/>
              </w:rPr>
              <w:t>81,1%</w:t>
            </w:r>
          </w:p>
        </w:tc>
        <w:tc>
          <w:tcPr>
            <w:tcW w:w="3009" w:type="dxa"/>
          </w:tcPr>
          <w:p w14:paraId="71AFDB0E" w14:textId="77777777" w:rsidR="00BF0272" w:rsidRDefault="00000000">
            <w:r>
              <w:rPr>
                <w:color w:val="374151"/>
                <w:sz w:val="22"/>
              </w:rPr>
              <w:t>Dominante entre vetores criminosos UE</w:t>
            </w:r>
          </w:p>
        </w:tc>
      </w:tr>
      <w:tr w:rsidR="00BF0272" w14:paraId="63F7004E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29373A34" w14:textId="77777777" w:rsidR="00BF0272" w:rsidRDefault="00000000">
            <w:r>
              <w:rPr>
                <w:color w:val="374151"/>
                <w:sz w:val="22"/>
              </w:rPr>
              <w:t xml:space="preserve">% </w:t>
            </w:r>
            <w:proofErr w:type="spellStart"/>
            <w:r>
              <w:rPr>
                <w:color w:val="374151"/>
                <w:sz w:val="22"/>
              </w:rPr>
              <w:t>cybercrime</w:t>
            </w:r>
            <w:proofErr w:type="spellEnd"/>
            <w:r>
              <w:rPr>
                <w:color w:val="374151"/>
                <w:sz w:val="22"/>
              </w:rPr>
              <w:t xml:space="preserve">: data </w:t>
            </w:r>
            <w:proofErr w:type="spellStart"/>
            <w:r>
              <w:rPr>
                <w:color w:val="374151"/>
                <w:sz w:val="22"/>
              </w:rPr>
              <w:t>breaches</w:t>
            </w:r>
            <w:proofErr w:type="spellEnd"/>
          </w:p>
        </w:tc>
        <w:tc>
          <w:tcPr>
            <w:tcW w:w="3009" w:type="dxa"/>
          </w:tcPr>
          <w:p w14:paraId="46C094F0" w14:textId="77777777" w:rsidR="00BF0272" w:rsidRDefault="00000000">
            <w:r>
              <w:rPr>
                <w:color w:val="374151"/>
                <w:sz w:val="22"/>
              </w:rPr>
              <w:t>15,2%</w:t>
            </w:r>
          </w:p>
        </w:tc>
        <w:tc>
          <w:tcPr>
            <w:tcW w:w="3009" w:type="dxa"/>
          </w:tcPr>
          <w:p w14:paraId="651EA6EF" w14:textId="77777777" w:rsidR="00BF0272" w:rsidRDefault="00000000">
            <w:r>
              <w:rPr>
                <w:color w:val="374151"/>
                <w:sz w:val="22"/>
              </w:rPr>
              <w:t>Segundo maior vetor</w:t>
            </w:r>
          </w:p>
        </w:tc>
      </w:tr>
      <w:tr w:rsidR="00BF0272" w14:paraId="19578747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15D3963E" w14:textId="77777777" w:rsidR="00BF0272" w:rsidRDefault="00000000">
            <w:r>
              <w:rPr>
                <w:color w:val="374151"/>
                <w:sz w:val="22"/>
              </w:rPr>
              <w:t xml:space="preserve">Top </w:t>
            </w:r>
            <w:proofErr w:type="spellStart"/>
            <w:r>
              <w:rPr>
                <w:color w:val="374151"/>
                <w:sz w:val="22"/>
              </w:rPr>
              <w:t>ransomware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strain</w:t>
            </w:r>
            <w:proofErr w:type="spellEnd"/>
            <w:r>
              <w:rPr>
                <w:color w:val="374151"/>
                <w:sz w:val="22"/>
              </w:rPr>
              <w:t xml:space="preserve"> #1</w:t>
            </w:r>
          </w:p>
        </w:tc>
        <w:tc>
          <w:tcPr>
            <w:tcW w:w="3009" w:type="dxa"/>
          </w:tcPr>
          <w:p w14:paraId="71377D32" w14:textId="77777777" w:rsidR="00BF0272" w:rsidRDefault="00000000">
            <w:proofErr w:type="spellStart"/>
            <w:r>
              <w:rPr>
                <w:color w:val="374151"/>
                <w:sz w:val="22"/>
              </w:rPr>
              <w:t>Akira</w:t>
            </w:r>
            <w:proofErr w:type="spellEnd"/>
            <w:r>
              <w:rPr>
                <w:color w:val="374151"/>
                <w:sz w:val="22"/>
              </w:rPr>
              <w:t xml:space="preserve"> — 48,7%</w:t>
            </w:r>
          </w:p>
        </w:tc>
        <w:tc>
          <w:tcPr>
            <w:tcW w:w="3009" w:type="dxa"/>
          </w:tcPr>
          <w:p w14:paraId="78CADB99" w14:textId="77777777" w:rsidR="00BF0272" w:rsidRDefault="00000000">
            <w:r>
              <w:rPr>
                <w:color w:val="374151"/>
                <w:sz w:val="22"/>
              </w:rPr>
              <w:t>Mais prevalente entre estirpes ativas EU</w:t>
            </w:r>
          </w:p>
        </w:tc>
      </w:tr>
      <w:tr w:rsidR="00BF0272" w14:paraId="7CD825A7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4DED6AA9" w14:textId="77777777" w:rsidR="00BF0272" w:rsidRDefault="00000000">
            <w:r>
              <w:rPr>
                <w:color w:val="374151"/>
                <w:sz w:val="22"/>
              </w:rPr>
              <w:t xml:space="preserve">Top </w:t>
            </w:r>
            <w:proofErr w:type="spellStart"/>
            <w:r>
              <w:rPr>
                <w:color w:val="374151"/>
                <w:sz w:val="22"/>
              </w:rPr>
              <w:t>ransomware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strain</w:t>
            </w:r>
            <w:proofErr w:type="spellEnd"/>
            <w:r>
              <w:rPr>
                <w:color w:val="374151"/>
                <w:sz w:val="22"/>
              </w:rPr>
              <w:t xml:space="preserve"> #2</w:t>
            </w:r>
          </w:p>
        </w:tc>
        <w:tc>
          <w:tcPr>
            <w:tcW w:w="3009" w:type="dxa"/>
          </w:tcPr>
          <w:p w14:paraId="2821B441" w14:textId="77777777" w:rsidR="00BF0272" w:rsidRDefault="00000000">
            <w:proofErr w:type="spellStart"/>
            <w:r>
              <w:rPr>
                <w:color w:val="374151"/>
                <w:sz w:val="22"/>
              </w:rPr>
              <w:t>Qilin</w:t>
            </w:r>
            <w:proofErr w:type="spellEnd"/>
            <w:r>
              <w:rPr>
                <w:color w:val="374151"/>
                <w:sz w:val="22"/>
              </w:rPr>
              <w:t xml:space="preserve"> — 20,5%</w:t>
            </w:r>
          </w:p>
        </w:tc>
        <w:tc>
          <w:tcPr>
            <w:tcW w:w="3009" w:type="dxa"/>
          </w:tcPr>
          <w:p w14:paraId="300CF9CE" w14:textId="77777777" w:rsidR="00BF0272" w:rsidRDefault="00000000">
            <w:r>
              <w:rPr>
                <w:color w:val="374151"/>
                <w:sz w:val="22"/>
              </w:rPr>
              <w:t xml:space="preserve">Posição #1 em </w:t>
            </w:r>
            <w:proofErr w:type="spellStart"/>
            <w:r>
              <w:rPr>
                <w:color w:val="374151"/>
                <w:sz w:val="22"/>
              </w:rPr>
              <w:t>Fev</w:t>
            </w:r>
            <w:proofErr w:type="spellEnd"/>
            <w:r>
              <w:rPr>
                <w:color w:val="374151"/>
                <w:sz w:val="22"/>
              </w:rPr>
              <w:t xml:space="preserve">-Mar 2026 com 680 vítimas/mês </w:t>
            </w:r>
            <w:proofErr w:type="spellStart"/>
            <w:r>
              <w:rPr>
                <w:color w:val="374151"/>
                <w:sz w:val="22"/>
              </w:rPr>
              <w:t>tracked</w:t>
            </w:r>
            <w:proofErr w:type="spellEnd"/>
          </w:p>
        </w:tc>
      </w:tr>
      <w:tr w:rsidR="00BF0272" w14:paraId="745E9957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0B29855C" w14:textId="77777777" w:rsidR="00BF0272" w:rsidRDefault="00000000">
            <w:r>
              <w:rPr>
                <w:color w:val="374151"/>
                <w:sz w:val="22"/>
              </w:rPr>
              <w:t xml:space="preserve">Top </w:t>
            </w:r>
            <w:proofErr w:type="spellStart"/>
            <w:r>
              <w:rPr>
                <w:color w:val="374151"/>
                <w:sz w:val="22"/>
              </w:rPr>
              <w:t>ransomware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spellStart"/>
            <w:r>
              <w:rPr>
                <w:color w:val="374151"/>
                <w:sz w:val="22"/>
              </w:rPr>
              <w:t>strain</w:t>
            </w:r>
            <w:proofErr w:type="spellEnd"/>
            <w:r>
              <w:rPr>
                <w:color w:val="374151"/>
                <w:sz w:val="22"/>
              </w:rPr>
              <w:t xml:space="preserve"> #3</w:t>
            </w:r>
          </w:p>
        </w:tc>
        <w:tc>
          <w:tcPr>
            <w:tcW w:w="3009" w:type="dxa"/>
          </w:tcPr>
          <w:p w14:paraId="52EDE07B" w14:textId="77777777" w:rsidR="00BF0272" w:rsidRDefault="00000000">
            <w:r>
              <w:rPr>
                <w:color w:val="374151"/>
                <w:sz w:val="22"/>
              </w:rPr>
              <w:t>FOG — 10,3%</w:t>
            </w:r>
          </w:p>
        </w:tc>
        <w:tc>
          <w:tcPr>
            <w:tcW w:w="3009" w:type="dxa"/>
          </w:tcPr>
          <w:p w14:paraId="0AC9A228" w14:textId="77777777" w:rsidR="00BF0272" w:rsidRDefault="00000000">
            <w:r>
              <w:rPr>
                <w:color w:val="374151"/>
                <w:sz w:val="22"/>
              </w:rPr>
              <w:t>Maior crescimento orgânico 2025</w:t>
            </w:r>
          </w:p>
        </w:tc>
      </w:tr>
      <w:tr w:rsidR="00BF0272" w14:paraId="78F209E1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6C2DA360" w14:textId="77777777" w:rsidR="00BF0272" w:rsidRDefault="00000000">
            <w:r>
              <w:rPr>
                <w:color w:val="374151"/>
                <w:sz w:val="22"/>
              </w:rPr>
              <w:lastRenderedPageBreak/>
              <w:t xml:space="preserve">Cartel </w:t>
            </w:r>
            <w:proofErr w:type="spellStart"/>
            <w:r>
              <w:rPr>
                <w:color w:val="374151"/>
                <w:sz w:val="22"/>
              </w:rPr>
              <w:t>ransomware</w:t>
            </w:r>
            <w:proofErr w:type="spellEnd"/>
            <w:r>
              <w:rPr>
                <w:color w:val="374151"/>
                <w:sz w:val="22"/>
              </w:rPr>
              <w:t xml:space="preserve"> emergente</w:t>
            </w:r>
          </w:p>
        </w:tc>
        <w:tc>
          <w:tcPr>
            <w:tcW w:w="3009" w:type="dxa"/>
          </w:tcPr>
          <w:p w14:paraId="2DE194FC" w14:textId="77777777" w:rsidR="00BF0272" w:rsidRDefault="00000000">
            <w:proofErr w:type="spellStart"/>
            <w:r>
              <w:rPr>
                <w:color w:val="374151"/>
                <w:sz w:val="22"/>
              </w:rPr>
              <w:t>LockBit</w:t>
            </w:r>
            <w:proofErr w:type="spellEnd"/>
            <w:r>
              <w:rPr>
                <w:color w:val="374151"/>
                <w:sz w:val="22"/>
              </w:rPr>
              <w:t xml:space="preserve"> 5.0 + </w:t>
            </w:r>
            <w:proofErr w:type="spellStart"/>
            <w:r>
              <w:rPr>
                <w:color w:val="374151"/>
                <w:sz w:val="22"/>
              </w:rPr>
              <w:t>Qilin</w:t>
            </w:r>
            <w:proofErr w:type="spellEnd"/>
            <w:r>
              <w:rPr>
                <w:color w:val="374151"/>
                <w:sz w:val="22"/>
              </w:rPr>
              <w:t xml:space="preserve"> + </w:t>
            </w:r>
            <w:proofErr w:type="spellStart"/>
            <w:r>
              <w:rPr>
                <w:color w:val="374151"/>
                <w:sz w:val="22"/>
              </w:rPr>
              <w:t>DragonForce</w:t>
            </w:r>
            <w:proofErr w:type="spellEnd"/>
            <w:r>
              <w:rPr>
                <w:color w:val="374151"/>
                <w:sz w:val="22"/>
              </w:rPr>
              <w:t xml:space="preserve"> (</w:t>
            </w:r>
            <w:proofErr w:type="spellStart"/>
            <w:r>
              <w:rPr>
                <w:color w:val="374151"/>
                <w:sz w:val="22"/>
              </w:rPr>
              <w:t>Nov</w:t>
            </w:r>
            <w:proofErr w:type="spellEnd"/>
            <w:r>
              <w:rPr>
                <w:color w:val="374151"/>
                <w:sz w:val="22"/>
              </w:rPr>
              <w:t xml:space="preserve"> 2025)</w:t>
            </w:r>
          </w:p>
        </w:tc>
        <w:tc>
          <w:tcPr>
            <w:tcW w:w="3009" w:type="dxa"/>
          </w:tcPr>
          <w:p w14:paraId="421D4BCF" w14:textId="77777777" w:rsidR="00BF0272" w:rsidRDefault="00000000">
            <w:r>
              <w:rPr>
                <w:color w:val="374151"/>
                <w:sz w:val="22"/>
              </w:rPr>
              <w:t>Partilha de ferramentas e infraestrutura</w:t>
            </w:r>
          </w:p>
        </w:tc>
      </w:tr>
      <w:tr w:rsidR="00BF0272" w14:paraId="759BD65C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7871FA17" w14:textId="77777777" w:rsidR="00BF0272" w:rsidRDefault="00000000">
            <w:r>
              <w:rPr>
                <w:color w:val="374151"/>
                <w:sz w:val="22"/>
              </w:rPr>
              <w:t>Setor público EU: grupos dominantes</w:t>
            </w:r>
          </w:p>
        </w:tc>
        <w:tc>
          <w:tcPr>
            <w:tcW w:w="3009" w:type="dxa"/>
          </w:tcPr>
          <w:p w14:paraId="47944036" w14:textId="77777777" w:rsidR="00BF0272" w:rsidRDefault="00000000">
            <w:proofErr w:type="spellStart"/>
            <w:r>
              <w:rPr>
                <w:color w:val="374151"/>
                <w:sz w:val="22"/>
              </w:rPr>
              <w:t>NightSpire</w:t>
            </w:r>
            <w:proofErr w:type="spellEnd"/>
            <w:r>
              <w:rPr>
                <w:color w:val="374151"/>
                <w:sz w:val="22"/>
              </w:rPr>
              <w:t xml:space="preserve"> (41,7%), </w:t>
            </w:r>
            <w:proofErr w:type="spellStart"/>
            <w:r>
              <w:rPr>
                <w:color w:val="374151"/>
                <w:sz w:val="22"/>
              </w:rPr>
              <w:t>SafePay</w:t>
            </w:r>
            <w:proofErr w:type="spellEnd"/>
            <w:r>
              <w:rPr>
                <w:color w:val="374151"/>
                <w:sz w:val="22"/>
              </w:rPr>
              <w:t xml:space="preserve"> (33,3%), </w:t>
            </w:r>
            <w:proofErr w:type="spellStart"/>
            <w:r>
              <w:rPr>
                <w:color w:val="374151"/>
                <w:sz w:val="22"/>
              </w:rPr>
              <w:t>Stormous</w:t>
            </w:r>
            <w:proofErr w:type="spellEnd"/>
            <w:r>
              <w:rPr>
                <w:color w:val="374151"/>
                <w:sz w:val="22"/>
              </w:rPr>
              <w:t xml:space="preserve"> (25%)</w:t>
            </w:r>
          </w:p>
        </w:tc>
        <w:tc>
          <w:tcPr>
            <w:tcW w:w="3009" w:type="dxa"/>
          </w:tcPr>
          <w:p w14:paraId="1D703B33" w14:textId="77777777" w:rsidR="00BF0272" w:rsidRDefault="00000000">
            <w:proofErr w:type="spellStart"/>
            <w:r>
              <w:rPr>
                <w:color w:val="374151"/>
                <w:sz w:val="22"/>
              </w:rPr>
              <w:t>Targeting</w:t>
            </w:r>
            <w:proofErr w:type="spellEnd"/>
            <w:r>
              <w:rPr>
                <w:color w:val="374151"/>
                <w:sz w:val="22"/>
              </w:rPr>
              <w:t xml:space="preserve"> </w:t>
            </w:r>
            <w:proofErr w:type="gramStart"/>
            <w:r>
              <w:rPr>
                <w:color w:val="374151"/>
                <w:sz w:val="22"/>
              </w:rPr>
              <w:t>específico administração</w:t>
            </w:r>
            <w:proofErr w:type="gramEnd"/>
            <w:r>
              <w:rPr>
                <w:color w:val="374151"/>
                <w:sz w:val="22"/>
              </w:rPr>
              <w:t xml:space="preserve"> pública</w:t>
            </w:r>
          </w:p>
        </w:tc>
      </w:tr>
      <w:tr w:rsidR="00BF0272" w14:paraId="0748EE00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767B8885" w14:textId="77777777" w:rsidR="00BF0272" w:rsidRDefault="00000000">
            <w:proofErr w:type="spellStart"/>
            <w:r>
              <w:rPr>
                <w:color w:val="374151"/>
                <w:sz w:val="22"/>
              </w:rPr>
              <w:t>DDoS</w:t>
            </w:r>
            <w:proofErr w:type="spellEnd"/>
          </w:p>
        </w:tc>
        <w:tc>
          <w:tcPr>
            <w:tcW w:w="3009" w:type="dxa"/>
          </w:tcPr>
          <w:p w14:paraId="7C315551" w14:textId="77777777" w:rsidR="00BF0272" w:rsidRDefault="00000000">
            <w:r>
              <w:rPr>
                <w:color w:val="374151"/>
                <w:sz w:val="22"/>
              </w:rPr>
              <w:t>Dominante por volume</w:t>
            </w:r>
          </w:p>
        </w:tc>
        <w:tc>
          <w:tcPr>
            <w:tcW w:w="3009" w:type="dxa"/>
          </w:tcPr>
          <w:p w14:paraId="0BA30023" w14:textId="77777777" w:rsidR="00BF0272" w:rsidRDefault="00000000">
            <w:r>
              <w:rPr>
                <w:color w:val="374151"/>
                <w:sz w:val="22"/>
              </w:rPr>
              <w:t xml:space="preserve">Menor impacto por </w:t>
            </w:r>
            <w:proofErr w:type="gramStart"/>
            <w:r>
              <w:rPr>
                <w:color w:val="374151"/>
                <w:sz w:val="22"/>
              </w:rPr>
              <w:t>incidente</w:t>
            </w:r>
            <w:proofErr w:type="gramEnd"/>
            <w:r>
              <w:rPr>
                <w:color w:val="374151"/>
                <w:sz w:val="22"/>
              </w:rPr>
              <w:t xml:space="preserve"> mas maior frequência</w:t>
            </w:r>
          </w:p>
        </w:tc>
      </w:tr>
      <w:tr w:rsidR="00BF0272" w14:paraId="6FC4A309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</w:tcPr>
          <w:p w14:paraId="13DF1AB8" w14:textId="77777777" w:rsidR="00BF0272" w:rsidRDefault="00000000">
            <w:r>
              <w:rPr>
                <w:color w:val="374151"/>
                <w:sz w:val="22"/>
              </w:rPr>
              <w:t>Exposição OT/ICS</w:t>
            </w:r>
          </w:p>
        </w:tc>
        <w:tc>
          <w:tcPr>
            <w:tcW w:w="3009" w:type="dxa"/>
          </w:tcPr>
          <w:p w14:paraId="7110B877" w14:textId="77777777" w:rsidR="00BF0272" w:rsidRDefault="00000000">
            <w:r>
              <w:rPr>
                <w:color w:val="374151"/>
                <w:sz w:val="22"/>
              </w:rPr>
              <w:t>Crescente</w:t>
            </w:r>
          </w:p>
        </w:tc>
        <w:tc>
          <w:tcPr>
            <w:tcW w:w="3009" w:type="dxa"/>
          </w:tcPr>
          <w:p w14:paraId="2981B334" w14:textId="77777777" w:rsidR="00BF0272" w:rsidRDefault="00000000">
            <w:r>
              <w:rPr>
                <w:color w:val="374151"/>
                <w:sz w:val="22"/>
              </w:rPr>
              <w:t>Convergência IT/OT historicamente isolada</w:t>
            </w:r>
          </w:p>
        </w:tc>
      </w:tr>
    </w:tbl>
    <w:p w14:paraId="65AF859B" w14:textId="77777777" w:rsidR="00BF0272" w:rsidRDefault="00BF0272"/>
    <w:p w14:paraId="19A57689" w14:textId="77777777" w:rsidR="00BF0272" w:rsidRDefault="00000000">
      <w:r>
        <w:rPr>
          <w:color w:val="374151"/>
          <w:sz w:val="22"/>
        </w:rPr>
        <w:t>Recomendações atualizadas 2026</w:t>
      </w:r>
    </w:p>
    <w:p w14:paraId="7BC11678" w14:textId="77777777" w:rsidR="00BF0272" w:rsidRDefault="00000000">
      <w:r>
        <w:rPr>
          <w:color w:val="374151"/>
          <w:sz w:val="22"/>
        </w:rPr>
        <w:t>Com base nas publicações acima, recomendam-se as seguintes medidas prioritárias em 2026:</w:t>
      </w:r>
    </w:p>
    <w:p w14:paraId="3987FC58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MFA obrigatória e resistente a </w:t>
      </w:r>
      <w:proofErr w:type="spellStart"/>
      <w:r>
        <w:rPr>
          <w:color w:val="374151"/>
          <w:sz w:val="22"/>
        </w:rPr>
        <w:t>phishing</w:t>
      </w:r>
      <w:proofErr w:type="spellEnd"/>
      <w:r>
        <w:rPr>
          <w:color w:val="374151"/>
          <w:sz w:val="22"/>
        </w:rPr>
        <w:t xml:space="preserve"> em todos os acessos remotos e administrativos — o </w:t>
      </w:r>
      <w:proofErr w:type="spellStart"/>
      <w:r>
        <w:rPr>
          <w:color w:val="374151"/>
          <w:sz w:val="22"/>
        </w:rPr>
        <w:t>Commission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Implementing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Regulation</w:t>
      </w:r>
      <w:proofErr w:type="spellEnd"/>
      <w:r>
        <w:rPr>
          <w:color w:val="374151"/>
          <w:sz w:val="22"/>
        </w:rPr>
        <w:t xml:space="preserve"> (EU) 2024/2690 torna-a requisito vinculativo, não apenas boa prática</w:t>
      </w:r>
    </w:p>
    <w:p w14:paraId="30E89476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SBOM (Software Bill </w:t>
      </w:r>
      <w:proofErr w:type="spellStart"/>
      <w:r>
        <w:rPr>
          <w:color w:val="374151"/>
          <w:sz w:val="22"/>
        </w:rPr>
        <w:t>of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Materials</w:t>
      </w:r>
      <w:proofErr w:type="spellEnd"/>
      <w:r>
        <w:rPr>
          <w:color w:val="374151"/>
          <w:sz w:val="22"/>
        </w:rPr>
        <w:t xml:space="preserve">) para todo o software crítico, nos formatos SPDX e </w:t>
      </w:r>
      <w:proofErr w:type="spellStart"/>
      <w:r>
        <w:rPr>
          <w:color w:val="374151"/>
          <w:sz w:val="22"/>
        </w:rPr>
        <w:t>CycloneDX</w:t>
      </w:r>
      <w:proofErr w:type="spellEnd"/>
      <w:r>
        <w:rPr>
          <w:color w:val="374151"/>
          <w:sz w:val="22"/>
        </w:rPr>
        <w:t xml:space="preserve"> (conforme BSI TR-03183-2), com atualização a cada nova versão</w:t>
      </w:r>
    </w:p>
    <w:p w14:paraId="65943A32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Segmentação de backups offline e imutáveis (3-2-1-1-0), testados mensalmente — as estirpes </w:t>
      </w:r>
      <w:proofErr w:type="spellStart"/>
      <w:r>
        <w:rPr>
          <w:color w:val="374151"/>
          <w:sz w:val="22"/>
        </w:rPr>
        <w:t>Akira</w:t>
      </w:r>
      <w:proofErr w:type="spellEnd"/>
      <w:r>
        <w:rPr>
          <w:color w:val="374151"/>
          <w:sz w:val="22"/>
        </w:rPr>
        <w:t xml:space="preserve"> e FOG visam especificamente backups online</w:t>
      </w:r>
    </w:p>
    <w:p w14:paraId="02898D60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Monitorização contínua de </w:t>
      </w:r>
      <w:proofErr w:type="spellStart"/>
      <w:r>
        <w:rPr>
          <w:color w:val="374151"/>
          <w:sz w:val="22"/>
        </w:rPr>
        <w:t>ASNs</w:t>
      </w:r>
      <w:proofErr w:type="spellEnd"/>
      <w:r>
        <w:rPr>
          <w:color w:val="374151"/>
          <w:sz w:val="22"/>
        </w:rPr>
        <w:t xml:space="preserve"> e indicadores de cartéis </w:t>
      </w:r>
      <w:proofErr w:type="spellStart"/>
      <w:r>
        <w:rPr>
          <w:color w:val="374151"/>
          <w:sz w:val="22"/>
        </w:rPr>
        <w:t>ransomware</w:t>
      </w:r>
      <w:proofErr w:type="spellEnd"/>
      <w:r>
        <w:rPr>
          <w:color w:val="374151"/>
          <w:sz w:val="22"/>
        </w:rPr>
        <w:t xml:space="preserve"> — consulta diária a </w:t>
      </w:r>
      <w:proofErr w:type="spellStart"/>
      <w:r>
        <w:rPr>
          <w:color w:val="374151"/>
          <w:sz w:val="22"/>
        </w:rPr>
        <w:t>feeds</w:t>
      </w:r>
      <w:proofErr w:type="spellEnd"/>
      <w:r>
        <w:rPr>
          <w:color w:val="374151"/>
          <w:sz w:val="22"/>
        </w:rPr>
        <w:t xml:space="preserve"> NVD, CISA KEV </w:t>
      </w:r>
      <w:proofErr w:type="spellStart"/>
      <w:r>
        <w:rPr>
          <w:color w:val="374151"/>
          <w:sz w:val="22"/>
        </w:rPr>
        <w:t>catalog</w:t>
      </w:r>
      <w:proofErr w:type="spellEnd"/>
      <w:r>
        <w:rPr>
          <w:color w:val="374151"/>
          <w:sz w:val="22"/>
        </w:rPr>
        <w:t>, MISP</w:t>
      </w:r>
    </w:p>
    <w:p w14:paraId="72013CFE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</w:t>
      </w:r>
      <w:proofErr w:type="spellStart"/>
      <w:r>
        <w:rPr>
          <w:color w:val="374151"/>
          <w:sz w:val="22"/>
        </w:rPr>
        <w:t>Tabletop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exercises</w:t>
      </w:r>
      <w:proofErr w:type="spellEnd"/>
      <w:r>
        <w:rPr>
          <w:color w:val="374151"/>
          <w:sz w:val="22"/>
        </w:rPr>
        <w:t xml:space="preserve"> trimestrais com cenários derivados do ENISA </w:t>
      </w:r>
      <w:proofErr w:type="spellStart"/>
      <w:r>
        <w:rPr>
          <w:color w:val="374151"/>
          <w:sz w:val="22"/>
        </w:rPr>
        <w:t>Threat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Landscape</w:t>
      </w:r>
      <w:proofErr w:type="spellEnd"/>
      <w:r>
        <w:rPr>
          <w:color w:val="374151"/>
          <w:sz w:val="22"/>
        </w:rPr>
        <w:t xml:space="preserve"> 2025</w:t>
      </w:r>
    </w:p>
    <w:p w14:paraId="348DC10E" w14:textId="77777777" w:rsidR="00BF0272" w:rsidRDefault="00000000">
      <w:pPr>
        <w:pStyle w:val="PargrafodaLista"/>
      </w:pPr>
      <w:r w:rsidRPr="004528F4">
        <w:rPr>
          <w:color w:val="374151"/>
          <w:sz w:val="22"/>
          <w:lang w:val="en-US"/>
        </w:rPr>
        <w:t xml:space="preserve">• </w:t>
      </w:r>
      <w:proofErr w:type="spellStart"/>
      <w:r w:rsidRPr="004528F4">
        <w:rPr>
          <w:color w:val="374151"/>
          <w:sz w:val="22"/>
          <w:lang w:val="en-US"/>
        </w:rPr>
        <w:t>Programa</w:t>
      </w:r>
      <w:proofErr w:type="spellEnd"/>
      <w:r w:rsidRPr="004528F4">
        <w:rPr>
          <w:color w:val="374151"/>
          <w:sz w:val="22"/>
          <w:lang w:val="en-US"/>
        </w:rPr>
        <w:t xml:space="preserve"> de TLPT (Threat-Led Penetration Testing) </w:t>
      </w:r>
      <w:proofErr w:type="spellStart"/>
      <w:r w:rsidRPr="004528F4">
        <w:rPr>
          <w:color w:val="374151"/>
          <w:sz w:val="22"/>
          <w:lang w:val="en-US"/>
        </w:rPr>
        <w:t>conforme</w:t>
      </w:r>
      <w:proofErr w:type="spellEnd"/>
      <w:r w:rsidRPr="004528F4">
        <w:rPr>
          <w:color w:val="374151"/>
          <w:sz w:val="22"/>
          <w:lang w:val="en-US"/>
        </w:rPr>
        <w:t xml:space="preserve"> DORA Art. 26.º </w:t>
      </w:r>
      <w:r>
        <w:rPr>
          <w:color w:val="374151"/>
          <w:sz w:val="22"/>
        </w:rPr>
        <w:t>(entidades financeiras) e recomendado em OE NIS2 de alta criticidade</w:t>
      </w:r>
    </w:p>
    <w:p w14:paraId="3D340C54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Registo imediato no portal CNCS (disponibilizado pelo Decreto-Lei 125/2025) — deadline efetivo entre </w:t>
      </w:r>
      <w:proofErr w:type="spellStart"/>
      <w:r>
        <w:rPr>
          <w:color w:val="374151"/>
          <w:sz w:val="22"/>
        </w:rPr>
        <w:t>Abr-Jul</w:t>
      </w:r>
      <w:proofErr w:type="spellEnd"/>
      <w:r>
        <w:rPr>
          <w:color w:val="374151"/>
          <w:sz w:val="22"/>
        </w:rPr>
        <w:t xml:space="preserve"> 2026 consoante classificação</w:t>
      </w:r>
    </w:p>
    <w:p w14:paraId="10C9CEFB" w14:textId="77777777" w:rsidR="00BF0272" w:rsidRDefault="00000000">
      <w:pPr>
        <w:pStyle w:val="PargrafodaLista"/>
      </w:pPr>
      <w:r>
        <w:rPr>
          <w:color w:val="374151"/>
          <w:sz w:val="22"/>
        </w:rPr>
        <w:t>• Formação de órgãos de gestão obrigatória (</w:t>
      </w:r>
      <w:proofErr w:type="spellStart"/>
      <w:r>
        <w:rPr>
          <w:color w:val="374151"/>
          <w:sz w:val="22"/>
        </w:rPr>
        <w:t>Art</w:t>
      </w:r>
      <w:proofErr w:type="spellEnd"/>
      <w:r>
        <w:rPr>
          <w:color w:val="374151"/>
          <w:sz w:val="22"/>
        </w:rPr>
        <w:t>. 20.º DL 125/2025) — administradores respondem pessoalmente por falhas de supervisão</w:t>
      </w:r>
    </w:p>
    <w:p w14:paraId="29162C35" w14:textId="77777777" w:rsidR="00BF0272" w:rsidRDefault="00000000">
      <w:pPr>
        <w:pStyle w:val="PargrafodaLista"/>
      </w:pPr>
      <w:r>
        <w:rPr>
          <w:color w:val="374151"/>
          <w:sz w:val="22"/>
        </w:rPr>
        <w:t xml:space="preserve">• Gestão de vulnerabilidades com </w:t>
      </w:r>
      <w:proofErr w:type="spellStart"/>
      <w:r>
        <w:rPr>
          <w:color w:val="374151"/>
          <w:sz w:val="22"/>
        </w:rPr>
        <w:t>patch</w:t>
      </w:r>
      <w:proofErr w:type="spellEnd"/>
      <w:r>
        <w:rPr>
          <w:color w:val="374151"/>
          <w:sz w:val="22"/>
        </w:rPr>
        <w:t xml:space="preserve"> em &lt;72h para críticas listadas em CISA KEV ou com CVSS ≥9.0</w:t>
      </w:r>
    </w:p>
    <w:p w14:paraId="52AAA97F" w14:textId="77777777" w:rsidR="00BF0272" w:rsidRDefault="00BF0272"/>
    <w:p w14:paraId="78354879" w14:textId="77777777" w:rsidR="00BF0272" w:rsidRDefault="00000000">
      <w:r>
        <w:rPr>
          <w:color w:val="374151"/>
          <w:sz w:val="22"/>
        </w:rPr>
        <w:t>Fontes consultadas</w:t>
      </w:r>
    </w:p>
    <w:p w14:paraId="2F2A33E8" w14:textId="77777777" w:rsidR="00BF0272" w:rsidRDefault="00000000">
      <w:r>
        <w:rPr>
          <w:color w:val="374151"/>
          <w:sz w:val="22"/>
        </w:rPr>
        <w:t xml:space="preserve">Esta secção sintetiza informação pública de: ENISA (enisa.europa.eu), CNCS Portugal (cncs.gov.pt), Comissão Europeia (eur-lex.europa.eu), Diário da República (diariodarepublica.pt), BSI (bsi.bund.de), </w:t>
      </w:r>
      <w:proofErr w:type="spellStart"/>
      <w:r>
        <w:rPr>
          <w:color w:val="374151"/>
          <w:sz w:val="22"/>
        </w:rPr>
        <w:t>GuidePoint</w:t>
      </w:r>
      <w:proofErr w:type="spellEnd"/>
      <w:r>
        <w:rPr>
          <w:color w:val="374151"/>
          <w:sz w:val="22"/>
        </w:rPr>
        <w:t xml:space="preserve"> GRIT, </w:t>
      </w:r>
      <w:proofErr w:type="spellStart"/>
      <w:r>
        <w:rPr>
          <w:color w:val="374151"/>
          <w:sz w:val="22"/>
        </w:rPr>
        <w:t>Breachsense</w:t>
      </w:r>
      <w:proofErr w:type="spellEnd"/>
      <w:r>
        <w:rPr>
          <w:color w:val="374151"/>
          <w:sz w:val="22"/>
        </w:rPr>
        <w:t xml:space="preserve">, </w:t>
      </w:r>
      <w:proofErr w:type="spellStart"/>
      <w:r>
        <w:rPr>
          <w:color w:val="374151"/>
          <w:sz w:val="22"/>
        </w:rPr>
        <w:t>Check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Point</w:t>
      </w:r>
      <w:proofErr w:type="spellEnd"/>
      <w:r>
        <w:rPr>
          <w:color w:val="374151"/>
          <w:sz w:val="22"/>
        </w:rPr>
        <w:t xml:space="preserve"> Research, </w:t>
      </w:r>
      <w:proofErr w:type="spellStart"/>
      <w:r>
        <w:rPr>
          <w:color w:val="374151"/>
          <w:sz w:val="22"/>
        </w:rPr>
        <w:t>SOCRadar</w:t>
      </w:r>
      <w:proofErr w:type="spellEnd"/>
      <w:r>
        <w:rPr>
          <w:color w:val="374151"/>
          <w:sz w:val="22"/>
        </w:rPr>
        <w:t xml:space="preserve">, </w:t>
      </w:r>
      <w:proofErr w:type="spellStart"/>
      <w:r>
        <w:rPr>
          <w:color w:val="374151"/>
          <w:sz w:val="22"/>
        </w:rPr>
        <w:t>Antiy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Labs</w:t>
      </w:r>
      <w:proofErr w:type="spellEnd"/>
      <w:r>
        <w:rPr>
          <w:color w:val="374151"/>
          <w:sz w:val="22"/>
        </w:rPr>
        <w:t xml:space="preserve">, </w:t>
      </w:r>
      <w:proofErr w:type="spellStart"/>
      <w:r>
        <w:rPr>
          <w:color w:val="374151"/>
          <w:sz w:val="22"/>
        </w:rPr>
        <w:t>Mandiant</w:t>
      </w:r>
      <w:proofErr w:type="spellEnd"/>
      <w:r>
        <w:rPr>
          <w:color w:val="374151"/>
          <w:sz w:val="22"/>
        </w:rPr>
        <w:t xml:space="preserve">/Google </w:t>
      </w:r>
      <w:proofErr w:type="spellStart"/>
      <w:r>
        <w:rPr>
          <w:color w:val="374151"/>
          <w:sz w:val="22"/>
        </w:rPr>
        <w:t>Cloud</w:t>
      </w:r>
      <w:proofErr w:type="spellEnd"/>
      <w:r>
        <w:rPr>
          <w:color w:val="374151"/>
          <w:sz w:val="22"/>
        </w:rPr>
        <w:t xml:space="preserve">, </w:t>
      </w:r>
      <w:proofErr w:type="spellStart"/>
      <w:r>
        <w:rPr>
          <w:color w:val="374151"/>
          <w:sz w:val="22"/>
        </w:rPr>
        <w:t>ExtraHop</w:t>
      </w:r>
      <w:proofErr w:type="spellEnd"/>
      <w:r>
        <w:rPr>
          <w:color w:val="374151"/>
          <w:sz w:val="22"/>
        </w:rPr>
        <w:t xml:space="preserve">, </w:t>
      </w:r>
      <w:proofErr w:type="spellStart"/>
      <w:r>
        <w:rPr>
          <w:color w:val="374151"/>
          <w:sz w:val="22"/>
        </w:rPr>
        <w:t>Picus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Security</w:t>
      </w:r>
      <w:proofErr w:type="spellEnd"/>
      <w:r>
        <w:rPr>
          <w:color w:val="374151"/>
          <w:sz w:val="22"/>
        </w:rPr>
        <w:t xml:space="preserve">. A lista detalhada de </w:t>
      </w:r>
      <w:proofErr w:type="spellStart"/>
      <w:r>
        <w:rPr>
          <w:color w:val="374151"/>
          <w:sz w:val="22"/>
        </w:rPr>
        <w:t>URLs</w:t>
      </w:r>
      <w:proofErr w:type="spellEnd"/>
      <w:r>
        <w:rPr>
          <w:color w:val="374151"/>
          <w:sz w:val="22"/>
        </w:rPr>
        <w:t xml:space="preserve"> é mantida no anexo Referências do site https://nis2-portugal.com/pages/novidades.html.</w:t>
      </w:r>
    </w:p>
    <w:p w14:paraId="01161F21" w14:textId="77777777" w:rsidR="00BF0272" w:rsidRDefault="00BF0272"/>
    <w:p w14:paraId="48B4F248" w14:textId="77777777" w:rsidR="00BF0272" w:rsidRDefault="00000000">
      <w:pPr>
        <w:pStyle w:val="Ttulo1"/>
      </w:pPr>
      <w:bookmarkStart w:id="37" w:name="_Toc235728030"/>
      <w:r>
        <w:rPr>
          <w:b/>
          <w:color w:val="1E3A8A"/>
          <w:sz w:val="28"/>
        </w:rPr>
        <w:t>12. Aprovação do documento</w:t>
      </w:r>
      <w:bookmarkEnd w:id="37"/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F0272" w14:paraId="4460BB0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60BF7DF6" w14:textId="77777777" w:rsidR="00BF0272" w:rsidRDefault="00000000">
            <w:r>
              <w:rPr>
                <w:b/>
                <w:color w:val="FFFFFF"/>
              </w:rPr>
              <w:t>Papel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2D502873" w14:textId="77777777" w:rsidR="00BF0272" w:rsidRDefault="00000000">
            <w:r>
              <w:rPr>
                <w:b/>
                <w:color w:val="FFFFFF"/>
              </w:rPr>
              <w:t>Nome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772C94B2" w14:textId="77777777" w:rsidR="00BF0272" w:rsidRDefault="00000000">
            <w:r>
              <w:rPr>
                <w:b/>
                <w:color w:val="FFFFFF"/>
              </w:rPr>
              <w:t>Cargo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04517777" w14:textId="77777777" w:rsidR="00BF0272" w:rsidRDefault="00000000">
            <w:r>
              <w:rPr>
                <w:b/>
                <w:color w:val="FFFFFF"/>
              </w:rPr>
              <w:t>Data e assinatura</w:t>
            </w:r>
          </w:p>
        </w:tc>
      </w:tr>
      <w:tr w:rsidR="00BF0272" w14:paraId="6659BE6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4DF3576D" w14:textId="77777777" w:rsidR="00BF0272" w:rsidRDefault="00000000">
            <w:r>
              <w:rPr>
                <w:b/>
                <w:color w:val="374151"/>
              </w:rPr>
              <w:t>Elaborado por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B6DDBAC" w14:textId="77777777" w:rsidR="00BF0272" w:rsidRDefault="00000000">
            <w:r>
              <w:rPr>
                <w:color w:val="374151"/>
              </w:rPr>
              <w:t>[DPO/CISO]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10911E9E" w14:textId="77777777" w:rsidR="00BF0272" w:rsidRDefault="00BF0272"/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2A5051AA" w14:textId="77777777" w:rsidR="00BF0272" w:rsidRDefault="00BF0272"/>
        </w:tc>
      </w:tr>
      <w:tr w:rsidR="00BF0272" w14:paraId="154C0A8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BEB2302" w14:textId="77777777" w:rsidR="00BF0272" w:rsidRDefault="00000000">
            <w:r>
              <w:rPr>
                <w:b/>
                <w:color w:val="374151"/>
              </w:rPr>
              <w:t>Revisto por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6AABB2D" w14:textId="77777777" w:rsidR="00BF0272" w:rsidRDefault="00BF0272"/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EDB70B4" w14:textId="77777777" w:rsidR="00BF0272" w:rsidRDefault="00BF0272"/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37FB4E8" w14:textId="77777777" w:rsidR="00BF0272" w:rsidRDefault="00BF0272"/>
        </w:tc>
      </w:tr>
      <w:tr w:rsidR="00BF0272" w14:paraId="6317F53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213C2274" w14:textId="77777777" w:rsidR="00BF0272" w:rsidRDefault="00000000">
            <w:r>
              <w:rPr>
                <w:b/>
                <w:color w:val="374151"/>
              </w:rPr>
              <w:t>Aprovado por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1B026DF8" w14:textId="77777777" w:rsidR="00BF0272" w:rsidRDefault="00BF0272"/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474194EA" w14:textId="77777777" w:rsidR="00BF0272" w:rsidRDefault="00000000">
            <w:r>
              <w:rPr>
                <w:color w:val="374151"/>
              </w:rPr>
              <w:t>Conselho de Administração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9FABC56" w14:textId="77777777" w:rsidR="00BF0272" w:rsidRDefault="00BF0272"/>
        </w:tc>
      </w:tr>
      <w:tr w:rsidR="00BF0272" w14:paraId="50B5671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9277E93" w14:textId="77777777" w:rsidR="00BF0272" w:rsidRDefault="00000000">
            <w:r>
              <w:rPr>
                <w:b/>
                <w:color w:val="374151"/>
              </w:rPr>
              <w:t>Comunicado a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6B2F9256" w14:textId="77777777" w:rsidR="00BF0272" w:rsidRDefault="00000000">
            <w:r>
              <w:rPr>
                <w:color w:val="374151"/>
              </w:rPr>
              <w:t>Todos os colaboradores</w:t>
            </w:r>
          </w:p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B0DCB48" w14:textId="77777777" w:rsidR="00BF0272" w:rsidRDefault="00BF0272"/>
        </w:tc>
        <w:tc>
          <w:tcPr>
            <w:tcW w:w="22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B3C3B21" w14:textId="77777777" w:rsidR="00BF0272" w:rsidRDefault="00BF0272"/>
        </w:tc>
      </w:tr>
    </w:tbl>
    <w:p w14:paraId="5A417C68" w14:textId="77777777" w:rsidR="00BF0272" w:rsidRDefault="00000000">
      <w:r>
        <w:rPr>
          <w:i/>
          <w:color w:val="374151"/>
        </w:rPr>
        <w:t>Este documento é controlado pelo sistema de gestão documental da organização. Alterações requerem aprovação formal conforme tabela acima. A próxima revisão deve ocorrer até 17/04/2027.</w:t>
      </w:r>
    </w:p>
    <w:p w14:paraId="1D4E7674" w14:textId="77777777" w:rsidR="00BF0272" w:rsidRDefault="00000000">
      <w:pPr>
        <w:pStyle w:val="Ttulo1"/>
      </w:pPr>
      <w:bookmarkStart w:id="38" w:name="_Toc235728031"/>
      <w:r>
        <w:rPr>
          <w:b/>
          <w:color w:val="1E3A8A"/>
          <w:sz w:val="28"/>
        </w:rPr>
        <w:t>13. Glossário</w:t>
      </w:r>
      <w:bookmarkEnd w:id="38"/>
    </w:p>
    <w:p w14:paraId="6622FD5B" w14:textId="77777777" w:rsidR="00BF0272" w:rsidRDefault="00000000">
      <w:r>
        <w:rPr>
          <w:color w:val="374151"/>
          <w:sz w:val="22"/>
        </w:rPr>
        <w:t>Para facilitar a leitura, apresentam-se os termos técnicos e legais usados ao longo deste documento.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BF0272" w14:paraId="032A280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675E7541" w14:textId="77777777" w:rsidR="00BF0272" w:rsidRDefault="00000000">
            <w:r>
              <w:rPr>
                <w:b/>
                <w:color w:val="FFFFFF"/>
              </w:rPr>
              <w:t>Termo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E3A8A"/>
          </w:tcPr>
          <w:p w14:paraId="2DC53FB7" w14:textId="77777777" w:rsidR="00BF0272" w:rsidRDefault="00000000">
            <w:r>
              <w:rPr>
                <w:b/>
                <w:color w:val="FFFFFF"/>
              </w:rPr>
              <w:t>Definição</w:t>
            </w:r>
          </w:p>
        </w:tc>
      </w:tr>
      <w:tr w:rsidR="00BF0272" w14:paraId="04CCDDC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34F22AA" w14:textId="77777777" w:rsidR="00BF0272" w:rsidRDefault="00000000">
            <w:r>
              <w:rPr>
                <w:b/>
                <w:color w:val="374151"/>
              </w:rPr>
              <w:t>NIS2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DF1801F" w14:textId="77777777" w:rsidR="00BF0272" w:rsidRDefault="00000000">
            <w:r>
              <w:rPr>
                <w:color w:val="374151"/>
              </w:rPr>
              <w:t xml:space="preserve">Diretiva (UE) 2022/2555 relativa a medidas destinadas a garantir um elevado nível comum de </w:t>
            </w:r>
            <w:proofErr w:type="spellStart"/>
            <w:r>
              <w:rPr>
                <w:color w:val="374151"/>
              </w:rPr>
              <w:t>cibersegurança</w:t>
            </w:r>
            <w:proofErr w:type="spellEnd"/>
            <w:r>
              <w:rPr>
                <w:color w:val="374151"/>
              </w:rPr>
              <w:t xml:space="preserve"> em toda a União (substitui a NIS de 2016)</w:t>
            </w:r>
          </w:p>
        </w:tc>
      </w:tr>
      <w:tr w:rsidR="00BF0272" w14:paraId="72F0BE7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26405AE" w14:textId="77777777" w:rsidR="00BF0272" w:rsidRDefault="00000000">
            <w:r>
              <w:rPr>
                <w:b/>
                <w:color w:val="374151"/>
              </w:rPr>
              <w:t>DL 125/2025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23AC052" w14:textId="77777777" w:rsidR="00BF0272" w:rsidRDefault="00000000">
            <w:r>
              <w:rPr>
                <w:color w:val="374151"/>
              </w:rPr>
              <w:t>Decreto-Lei n.º 125/2025, de 6 de agosto, que transpõe para Portugal a Diretiva NIS2</w:t>
            </w:r>
          </w:p>
        </w:tc>
      </w:tr>
      <w:tr w:rsidR="00BF0272" w14:paraId="0C94D0E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18C7A94F" w14:textId="77777777" w:rsidR="00BF0272" w:rsidRDefault="00000000">
            <w:r>
              <w:rPr>
                <w:b/>
                <w:color w:val="374151"/>
              </w:rPr>
              <w:t>CNCS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EB6F9AA" w14:textId="77777777" w:rsidR="00BF0272" w:rsidRDefault="00000000">
            <w:r>
              <w:rPr>
                <w:color w:val="374151"/>
              </w:rPr>
              <w:t xml:space="preserve">Centro Nacional de </w:t>
            </w:r>
            <w:proofErr w:type="spellStart"/>
            <w:r>
              <w:rPr>
                <w:color w:val="374151"/>
              </w:rPr>
              <w:t>Cibersegurança</w:t>
            </w:r>
            <w:proofErr w:type="spellEnd"/>
            <w:r>
              <w:rPr>
                <w:color w:val="374151"/>
              </w:rPr>
              <w:t>, autoridade competente NIS2 em Portugal (</w:t>
            </w:r>
            <w:proofErr w:type="spellStart"/>
            <w:r>
              <w:rPr>
                <w:color w:val="374151"/>
              </w:rPr>
              <w:t>Art</w:t>
            </w:r>
            <w:proofErr w:type="spellEnd"/>
            <w:r>
              <w:rPr>
                <w:color w:val="374151"/>
              </w:rPr>
              <w:t>. 32.º DL 125/2025)</w:t>
            </w:r>
          </w:p>
        </w:tc>
      </w:tr>
      <w:tr w:rsidR="00BF0272" w14:paraId="41FE751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41F78E6" w14:textId="77777777" w:rsidR="00BF0272" w:rsidRDefault="00000000">
            <w:r>
              <w:rPr>
                <w:b/>
                <w:color w:val="374151"/>
              </w:rPr>
              <w:lastRenderedPageBreak/>
              <w:t>CERT.PT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066DEBDF" w14:textId="77777777" w:rsidR="00BF0272" w:rsidRDefault="00000000">
            <w:r>
              <w:rPr>
                <w:color w:val="374151"/>
              </w:rPr>
              <w:t>Equipa de resposta a incidentes de segurança informática nacional integrada no CNCS</w:t>
            </w:r>
          </w:p>
        </w:tc>
      </w:tr>
      <w:tr w:rsidR="00BF0272" w14:paraId="4AD3405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9DF0491" w14:textId="77777777" w:rsidR="00BF0272" w:rsidRDefault="00000000">
            <w:r>
              <w:rPr>
                <w:b/>
                <w:color w:val="374151"/>
              </w:rPr>
              <w:t>OE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BBF0943" w14:textId="77777777" w:rsidR="00BF0272" w:rsidRDefault="00000000">
            <w:r>
              <w:rPr>
                <w:color w:val="374151"/>
              </w:rPr>
              <w:t>Entidade Essencial (</w:t>
            </w:r>
            <w:proofErr w:type="spellStart"/>
            <w:r>
              <w:rPr>
                <w:color w:val="374151"/>
              </w:rPr>
              <w:t>Art</w:t>
            </w:r>
            <w:proofErr w:type="spellEnd"/>
            <w:r>
              <w:rPr>
                <w:color w:val="374151"/>
              </w:rPr>
              <w:t>. 10.º DL 125/2025) — entidade sujeita a maiores obrigações e supervisão</w:t>
            </w:r>
          </w:p>
        </w:tc>
      </w:tr>
      <w:tr w:rsidR="00BF0272" w14:paraId="587FC82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557D36C" w14:textId="77777777" w:rsidR="00BF0272" w:rsidRDefault="00000000">
            <w:r>
              <w:rPr>
                <w:b/>
                <w:color w:val="374151"/>
              </w:rPr>
              <w:t>OI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3556A835" w14:textId="77777777" w:rsidR="00BF0272" w:rsidRDefault="00000000">
            <w:r>
              <w:rPr>
                <w:color w:val="374151"/>
              </w:rPr>
              <w:t>Entidade Importante (</w:t>
            </w:r>
            <w:proofErr w:type="spellStart"/>
            <w:r>
              <w:rPr>
                <w:color w:val="374151"/>
              </w:rPr>
              <w:t>Art</w:t>
            </w:r>
            <w:proofErr w:type="spellEnd"/>
            <w:r>
              <w:rPr>
                <w:color w:val="374151"/>
              </w:rPr>
              <w:t xml:space="preserve">. 11.º DL 125/2025) — regime proporcional com supervisão </w:t>
            </w:r>
            <w:proofErr w:type="spellStart"/>
            <w:r>
              <w:rPr>
                <w:color w:val="374151"/>
              </w:rPr>
              <w:t>ex-post</w:t>
            </w:r>
            <w:proofErr w:type="spellEnd"/>
          </w:p>
        </w:tc>
      </w:tr>
      <w:tr w:rsidR="00BF0272" w14:paraId="28D95D7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92E6446" w14:textId="77777777" w:rsidR="00BF0272" w:rsidRDefault="00000000">
            <w:r>
              <w:rPr>
                <w:b/>
                <w:color w:val="374151"/>
              </w:rPr>
              <w:t>SGSI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43C99EAE" w14:textId="77777777" w:rsidR="00BF0272" w:rsidRDefault="00000000">
            <w:r>
              <w:rPr>
                <w:color w:val="374151"/>
              </w:rPr>
              <w:t>Sistema de Gestão de Segurança da Informação (ISO/IEC 27001)</w:t>
            </w:r>
          </w:p>
        </w:tc>
      </w:tr>
      <w:tr w:rsidR="00BF0272" w14:paraId="45748F0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35E3796B" w14:textId="77777777" w:rsidR="00BF0272" w:rsidRDefault="00000000">
            <w:r>
              <w:rPr>
                <w:b/>
                <w:color w:val="374151"/>
              </w:rPr>
              <w:t>CSIRT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2B5D9E1" w14:textId="77777777" w:rsidR="00BF0272" w:rsidRDefault="00000000">
            <w:proofErr w:type="spellStart"/>
            <w:r>
              <w:rPr>
                <w:color w:val="374151"/>
              </w:rPr>
              <w:t>Computer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Security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Incident</w:t>
            </w:r>
            <w:proofErr w:type="spellEnd"/>
            <w:r>
              <w:rPr>
                <w:color w:val="374151"/>
              </w:rPr>
              <w:t xml:space="preserve"> Response Team — equipa de resposta a incidentes</w:t>
            </w:r>
          </w:p>
        </w:tc>
      </w:tr>
      <w:tr w:rsidR="00BF0272" w14:paraId="00D273E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23A047AE" w14:textId="77777777" w:rsidR="00BF0272" w:rsidRDefault="00000000">
            <w:r>
              <w:rPr>
                <w:b/>
                <w:color w:val="374151"/>
              </w:rPr>
              <w:t>SOC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6EA97E8" w14:textId="77777777" w:rsidR="00BF0272" w:rsidRDefault="00000000">
            <w:proofErr w:type="spellStart"/>
            <w:r>
              <w:rPr>
                <w:color w:val="374151"/>
              </w:rPr>
              <w:t>Security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Operations</w:t>
            </w:r>
            <w:proofErr w:type="spellEnd"/>
            <w:r>
              <w:rPr>
                <w:color w:val="374151"/>
              </w:rPr>
              <w:t xml:space="preserve"> Centre — centro de operações de segurança</w:t>
            </w:r>
          </w:p>
        </w:tc>
      </w:tr>
      <w:tr w:rsidR="00BF0272" w14:paraId="2A98EE8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4B434FD" w14:textId="77777777" w:rsidR="00BF0272" w:rsidRDefault="00000000">
            <w:r>
              <w:rPr>
                <w:b/>
                <w:color w:val="374151"/>
              </w:rPr>
              <w:t>SIEM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306194DF" w14:textId="77777777" w:rsidR="00BF0272" w:rsidRDefault="00000000">
            <w:proofErr w:type="spellStart"/>
            <w:r>
              <w:rPr>
                <w:color w:val="374151"/>
              </w:rPr>
              <w:t>Security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Information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and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Event</w:t>
            </w:r>
            <w:proofErr w:type="spellEnd"/>
            <w:r>
              <w:rPr>
                <w:color w:val="374151"/>
              </w:rPr>
              <w:t xml:space="preserve"> Management — correlação e análise de </w:t>
            </w:r>
            <w:proofErr w:type="spellStart"/>
            <w:r>
              <w:rPr>
                <w:color w:val="374151"/>
              </w:rPr>
              <w:t>logs</w:t>
            </w:r>
            <w:proofErr w:type="spellEnd"/>
          </w:p>
        </w:tc>
      </w:tr>
      <w:tr w:rsidR="00BF0272" w14:paraId="767A988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48030253" w14:textId="77777777" w:rsidR="00BF0272" w:rsidRDefault="00000000">
            <w:r>
              <w:rPr>
                <w:b/>
                <w:color w:val="374151"/>
              </w:rPr>
              <w:t>EDR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67D0D78" w14:textId="77777777" w:rsidR="00BF0272" w:rsidRDefault="00000000">
            <w:proofErr w:type="spellStart"/>
            <w:r>
              <w:rPr>
                <w:color w:val="374151"/>
              </w:rPr>
              <w:t>Endpoint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Detection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proofErr w:type="gramStart"/>
            <w:r>
              <w:rPr>
                <w:color w:val="374151"/>
              </w:rPr>
              <w:t>and</w:t>
            </w:r>
            <w:proofErr w:type="spellEnd"/>
            <w:r>
              <w:rPr>
                <w:color w:val="374151"/>
              </w:rPr>
              <w:t xml:space="preserve"> Response</w:t>
            </w:r>
            <w:proofErr w:type="gramEnd"/>
            <w:r>
              <w:rPr>
                <w:color w:val="374151"/>
              </w:rPr>
              <w:t xml:space="preserve"> — deteção e resposta em </w:t>
            </w:r>
            <w:proofErr w:type="spellStart"/>
            <w:r>
              <w:rPr>
                <w:color w:val="374151"/>
              </w:rPr>
              <w:t>endpoints</w:t>
            </w:r>
            <w:proofErr w:type="spellEnd"/>
          </w:p>
        </w:tc>
      </w:tr>
      <w:tr w:rsidR="00BF0272" w:rsidRPr="004528F4" w14:paraId="3C96E70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583B1889" w14:textId="77777777" w:rsidR="00BF0272" w:rsidRDefault="00000000">
            <w:r>
              <w:rPr>
                <w:b/>
                <w:color w:val="374151"/>
              </w:rPr>
              <w:t>XDR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6E292C57" w14:textId="77777777" w:rsidR="00BF0272" w:rsidRPr="004528F4" w:rsidRDefault="00000000">
            <w:pPr>
              <w:rPr>
                <w:lang w:val="en-US"/>
              </w:rPr>
            </w:pPr>
            <w:r w:rsidRPr="004528F4">
              <w:rPr>
                <w:color w:val="374151"/>
                <w:lang w:val="en-US"/>
              </w:rPr>
              <w:t xml:space="preserve">Extended Detection and Response — </w:t>
            </w:r>
            <w:proofErr w:type="spellStart"/>
            <w:r w:rsidRPr="004528F4">
              <w:rPr>
                <w:color w:val="374151"/>
                <w:lang w:val="en-US"/>
              </w:rPr>
              <w:t>deteção</w:t>
            </w:r>
            <w:proofErr w:type="spellEnd"/>
            <w:r w:rsidRPr="004528F4">
              <w:rPr>
                <w:color w:val="374151"/>
                <w:lang w:val="en-US"/>
              </w:rPr>
              <w:t xml:space="preserve"> </w:t>
            </w:r>
            <w:proofErr w:type="spellStart"/>
            <w:r w:rsidRPr="004528F4">
              <w:rPr>
                <w:color w:val="374151"/>
                <w:lang w:val="en-US"/>
              </w:rPr>
              <w:t>estendida</w:t>
            </w:r>
            <w:proofErr w:type="spellEnd"/>
            <w:r w:rsidRPr="004528F4">
              <w:rPr>
                <w:color w:val="374151"/>
                <w:lang w:val="en-US"/>
              </w:rPr>
              <w:t xml:space="preserve"> (endpoints + rede + cloud)</w:t>
            </w:r>
          </w:p>
        </w:tc>
      </w:tr>
      <w:tr w:rsidR="00BF0272" w14:paraId="33C24D4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4293D07" w14:textId="77777777" w:rsidR="00BF0272" w:rsidRDefault="00000000">
            <w:r>
              <w:rPr>
                <w:b/>
                <w:color w:val="374151"/>
              </w:rPr>
              <w:t>IAM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D16EE57" w14:textId="77777777" w:rsidR="00BF0272" w:rsidRDefault="00000000">
            <w:proofErr w:type="spellStart"/>
            <w:r>
              <w:rPr>
                <w:color w:val="374151"/>
              </w:rPr>
              <w:t>Identity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and</w:t>
            </w:r>
            <w:proofErr w:type="spellEnd"/>
            <w:r>
              <w:rPr>
                <w:color w:val="374151"/>
              </w:rPr>
              <w:t xml:space="preserve"> Access Management — gestão de identidades e acessos</w:t>
            </w:r>
          </w:p>
        </w:tc>
      </w:tr>
      <w:tr w:rsidR="00BF0272" w14:paraId="298549F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01C9109" w14:textId="77777777" w:rsidR="00BF0272" w:rsidRDefault="00000000">
            <w:r>
              <w:rPr>
                <w:b/>
                <w:color w:val="374151"/>
              </w:rPr>
              <w:t>PAM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2F4EF19" w14:textId="77777777" w:rsidR="00BF0272" w:rsidRDefault="00000000">
            <w:proofErr w:type="spellStart"/>
            <w:r>
              <w:rPr>
                <w:color w:val="374151"/>
              </w:rPr>
              <w:t>Privileged</w:t>
            </w:r>
            <w:proofErr w:type="spellEnd"/>
            <w:r>
              <w:rPr>
                <w:color w:val="374151"/>
              </w:rPr>
              <w:t xml:space="preserve"> Access Management — gestão de acessos privilegiados</w:t>
            </w:r>
          </w:p>
        </w:tc>
      </w:tr>
      <w:tr w:rsidR="00BF0272" w14:paraId="0F92CB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7973E8FD" w14:textId="77777777" w:rsidR="00BF0272" w:rsidRDefault="00000000">
            <w:r>
              <w:rPr>
                <w:b/>
                <w:color w:val="374151"/>
              </w:rPr>
              <w:t>MFA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6EBE24B3" w14:textId="77777777" w:rsidR="00BF0272" w:rsidRDefault="00000000">
            <w:proofErr w:type="spellStart"/>
            <w:r>
              <w:rPr>
                <w:color w:val="374151"/>
              </w:rPr>
              <w:t>Multi-Factor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Authentication</w:t>
            </w:r>
            <w:proofErr w:type="spellEnd"/>
            <w:r>
              <w:rPr>
                <w:color w:val="374151"/>
              </w:rPr>
              <w:t xml:space="preserve"> — autenticação </w:t>
            </w:r>
            <w:proofErr w:type="spellStart"/>
            <w:r>
              <w:rPr>
                <w:color w:val="374151"/>
              </w:rPr>
              <w:t>multifator</w:t>
            </w:r>
            <w:proofErr w:type="spellEnd"/>
          </w:p>
        </w:tc>
      </w:tr>
      <w:tr w:rsidR="00BF0272" w14:paraId="65B4B63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0D90444B" w14:textId="77777777" w:rsidR="00BF0272" w:rsidRDefault="00000000">
            <w:r>
              <w:rPr>
                <w:b/>
                <w:color w:val="374151"/>
              </w:rPr>
              <w:t>SSO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298A9BD" w14:textId="77777777" w:rsidR="00BF0272" w:rsidRDefault="00000000">
            <w:r>
              <w:rPr>
                <w:color w:val="374151"/>
              </w:rPr>
              <w:t xml:space="preserve">Single </w:t>
            </w:r>
            <w:proofErr w:type="spellStart"/>
            <w:r>
              <w:rPr>
                <w:color w:val="374151"/>
              </w:rPr>
              <w:t>Sign-On</w:t>
            </w:r>
            <w:proofErr w:type="spellEnd"/>
            <w:r>
              <w:rPr>
                <w:color w:val="374151"/>
              </w:rPr>
              <w:t xml:space="preserve"> — autenticação única</w:t>
            </w:r>
          </w:p>
        </w:tc>
      </w:tr>
      <w:tr w:rsidR="00BF0272" w14:paraId="0F38005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60BF2DE0" w14:textId="77777777" w:rsidR="00BF0272" w:rsidRDefault="00000000">
            <w:r>
              <w:rPr>
                <w:b/>
                <w:color w:val="374151"/>
              </w:rPr>
              <w:t>DLP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214FD8AC" w14:textId="77777777" w:rsidR="00BF0272" w:rsidRDefault="00000000">
            <w:r>
              <w:rPr>
                <w:color w:val="374151"/>
              </w:rPr>
              <w:t xml:space="preserve">Data </w:t>
            </w:r>
            <w:proofErr w:type="spellStart"/>
            <w:r>
              <w:rPr>
                <w:color w:val="374151"/>
              </w:rPr>
              <w:t>Loss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Prevention</w:t>
            </w:r>
            <w:proofErr w:type="spellEnd"/>
            <w:r>
              <w:rPr>
                <w:color w:val="374151"/>
              </w:rPr>
              <w:t xml:space="preserve"> — prevenção de fuga de dados</w:t>
            </w:r>
          </w:p>
        </w:tc>
      </w:tr>
      <w:tr w:rsidR="00BF0272" w14:paraId="464B4C6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2722335" w14:textId="77777777" w:rsidR="00BF0272" w:rsidRDefault="00000000">
            <w:r>
              <w:rPr>
                <w:b/>
                <w:color w:val="374151"/>
              </w:rPr>
              <w:t>DPIA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FBD9008" w14:textId="77777777" w:rsidR="00BF0272" w:rsidRDefault="00000000">
            <w:r>
              <w:rPr>
                <w:color w:val="374151"/>
              </w:rPr>
              <w:t xml:space="preserve">Data </w:t>
            </w:r>
            <w:proofErr w:type="spellStart"/>
            <w:r>
              <w:rPr>
                <w:color w:val="374151"/>
              </w:rPr>
              <w:t>Protection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Impact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Assessment</w:t>
            </w:r>
            <w:proofErr w:type="spellEnd"/>
            <w:r>
              <w:rPr>
                <w:color w:val="374151"/>
              </w:rPr>
              <w:t xml:space="preserve"> (RGPD </w:t>
            </w:r>
            <w:proofErr w:type="spellStart"/>
            <w:r>
              <w:rPr>
                <w:color w:val="374151"/>
              </w:rPr>
              <w:t>Art</w:t>
            </w:r>
            <w:proofErr w:type="spellEnd"/>
            <w:r>
              <w:rPr>
                <w:color w:val="374151"/>
              </w:rPr>
              <w:t>. 35.º) — avaliação de impacto sobre proteção de dados</w:t>
            </w:r>
          </w:p>
        </w:tc>
      </w:tr>
      <w:tr w:rsidR="00BF0272" w14:paraId="2C8BF72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1BF3940" w14:textId="77777777" w:rsidR="00BF0272" w:rsidRDefault="00000000">
            <w:r>
              <w:rPr>
                <w:b/>
                <w:color w:val="374151"/>
              </w:rPr>
              <w:t>AIPD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300435AD" w14:textId="77777777" w:rsidR="00BF0272" w:rsidRDefault="00000000">
            <w:r>
              <w:rPr>
                <w:color w:val="374151"/>
              </w:rPr>
              <w:t>Avaliação de Impacto sobre a Proteção de Dados (equivalente PT-PT do DPIA)</w:t>
            </w:r>
          </w:p>
        </w:tc>
      </w:tr>
      <w:tr w:rsidR="00BF0272" w14:paraId="5819A53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0947932" w14:textId="77777777" w:rsidR="00BF0272" w:rsidRDefault="00000000">
            <w:r>
              <w:rPr>
                <w:b/>
                <w:color w:val="374151"/>
              </w:rPr>
              <w:t>RTO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2AFA1C3A" w14:textId="77777777" w:rsidR="00BF0272" w:rsidRDefault="00000000">
            <w:proofErr w:type="spellStart"/>
            <w:r>
              <w:rPr>
                <w:color w:val="374151"/>
              </w:rPr>
              <w:t>Recovery</w:t>
            </w:r>
            <w:proofErr w:type="spellEnd"/>
            <w:r>
              <w:rPr>
                <w:color w:val="374151"/>
              </w:rPr>
              <w:t xml:space="preserve"> Time </w:t>
            </w:r>
            <w:proofErr w:type="spellStart"/>
            <w:r>
              <w:rPr>
                <w:color w:val="374151"/>
              </w:rPr>
              <w:t>Objective</w:t>
            </w:r>
            <w:proofErr w:type="spellEnd"/>
            <w:r>
              <w:rPr>
                <w:color w:val="374151"/>
              </w:rPr>
              <w:t xml:space="preserve"> — tempo máximo de recuperação aceitável</w:t>
            </w:r>
          </w:p>
        </w:tc>
      </w:tr>
      <w:tr w:rsidR="00BF0272" w14:paraId="4944E65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6AE478D6" w14:textId="77777777" w:rsidR="00BF0272" w:rsidRDefault="00000000">
            <w:r>
              <w:rPr>
                <w:b/>
                <w:color w:val="374151"/>
              </w:rPr>
              <w:t>RPO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9FC909E" w14:textId="77777777" w:rsidR="00BF0272" w:rsidRDefault="00000000">
            <w:proofErr w:type="spellStart"/>
            <w:r>
              <w:rPr>
                <w:color w:val="374151"/>
              </w:rPr>
              <w:t>Recovery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Point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Objective</w:t>
            </w:r>
            <w:proofErr w:type="spellEnd"/>
            <w:r>
              <w:rPr>
                <w:color w:val="374151"/>
              </w:rPr>
              <w:t xml:space="preserve"> — perda máxima de dados aceitável</w:t>
            </w:r>
          </w:p>
        </w:tc>
      </w:tr>
      <w:tr w:rsidR="00BF0272" w14:paraId="6A2B60D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346B6B5" w14:textId="77777777" w:rsidR="00BF0272" w:rsidRDefault="00000000">
            <w:r>
              <w:rPr>
                <w:b/>
                <w:color w:val="374151"/>
              </w:rPr>
              <w:t>MTTD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ADC22AE" w14:textId="77777777" w:rsidR="00BF0272" w:rsidRDefault="00000000">
            <w:proofErr w:type="spellStart"/>
            <w:r>
              <w:rPr>
                <w:color w:val="374151"/>
              </w:rPr>
              <w:t>Mean</w:t>
            </w:r>
            <w:proofErr w:type="spellEnd"/>
            <w:r>
              <w:rPr>
                <w:color w:val="374151"/>
              </w:rPr>
              <w:t xml:space="preserve"> Time To </w:t>
            </w:r>
            <w:proofErr w:type="spellStart"/>
            <w:r>
              <w:rPr>
                <w:color w:val="374151"/>
              </w:rPr>
              <w:t>Detect</w:t>
            </w:r>
            <w:proofErr w:type="spellEnd"/>
            <w:r>
              <w:rPr>
                <w:color w:val="374151"/>
              </w:rPr>
              <w:t xml:space="preserve"> — tempo médio de deteção</w:t>
            </w:r>
          </w:p>
        </w:tc>
      </w:tr>
      <w:tr w:rsidR="00BF0272" w14:paraId="4110F67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1D2E62FC" w14:textId="77777777" w:rsidR="00BF0272" w:rsidRDefault="00000000">
            <w:r>
              <w:rPr>
                <w:b/>
                <w:color w:val="374151"/>
              </w:rPr>
              <w:t>MTTR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17981958" w14:textId="77777777" w:rsidR="00BF0272" w:rsidRDefault="00000000">
            <w:proofErr w:type="spellStart"/>
            <w:r>
              <w:rPr>
                <w:color w:val="374151"/>
              </w:rPr>
              <w:t>Mean</w:t>
            </w:r>
            <w:proofErr w:type="spellEnd"/>
            <w:r>
              <w:rPr>
                <w:color w:val="374151"/>
              </w:rPr>
              <w:t xml:space="preserve"> Time To </w:t>
            </w:r>
            <w:proofErr w:type="spellStart"/>
            <w:r>
              <w:rPr>
                <w:color w:val="374151"/>
              </w:rPr>
              <w:t>Respond</w:t>
            </w:r>
            <w:proofErr w:type="spellEnd"/>
            <w:r>
              <w:rPr>
                <w:color w:val="374151"/>
              </w:rPr>
              <w:t>/</w:t>
            </w:r>
            <w:proofErr w:type="spellStart"/>
            <w:r>
              <w:rPr>
                <w:color w:val="374151"/>
              </w:rPr>
              <w:t>Recover</w:t>
            </w:r>
            <w:proofErr w:type="spellEnd"/>
            <w:r>
              <w:rPr>
                <w:color w:val="374151"/>
              </w:rPr>
              <w:t xml:space="preserve"> — tempo médio de resposta ou recuperação</w:t>
            </w:r>
          </w:p>
        </w:tc>
      </w:tr>
      <w:tr w:rsidR="00BF0272" w14:paraId="25D1008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2CD4273" w14:textId="77777777" w:rsidR="00BF0272" w:rsidRDefault="00000000">
            <w:proofErr w:type="spellStart"/>
            <w:r>
              <w:rPr>
                <w:b/>
                <w:color w:val="374151"/>
              </w:rPr>
              <w:t>IoC</w:t>
            </w:r>
            <w:proofErr w:type="spellEnd"/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577B0739" w14:textId="77777777" w:rsidR="00BF0272" w:rsidRDefault="00000000">
            <w:proofErr w:type="spellStart"/>
            <w:r>
              <w:rPr>
                <w:color w:val="374151"/>
              </w:rPr>
              <w:t>Indicator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of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Compromise</w:t>
            </w:r>
            <w:proofErr w:type="spellEnd"/>
            <w:r>
              <w:rPr>
                <w:color w:val="374151"/>
              </w:rPr>
              <w:t xml:space="preserve"> — indicador de compromisso</w:t>
            </w:r>
          </w:p>
        </w:tc>
      </w:tr>
      <w:tr w:rsidR="00BF0272" w14:paraId="3B76675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E0F222C" w14:textId="77777777" w:rsidR="00BF0272" w:rsidRDefault="00000000">
            <w:r>
              <w:rPr>
                <w:b/>
                <w:color w:val="374151"/>
              </w:rPr>
              <w:t>TLPT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59EE2FB" w14:textId="77777777" w:rsidR="00BF0272" w:rsidRDefault="00000000">
            <w:proofErr w:type="spellStart"/>
            <w:r>
              <w:rPr>
                <w:color w:val="374151"/>
              </w:rPr>
              <w:t>Threat</w:t>
            </w:r>
            <w:proofErr w:type="spellEnd"/>
            <w:r>
              <w:rPr>
                <w:color w:val="374151"/>
              </w:rPr>
              <w:t xml:space="preserve">-Led </w:t>
            </w:r>
            <w:proofErr w:type="spellStart"/>
            <w:r>
              <w:rPr>
                <w:color w:val="374151"/>
              </w:rPr>
              <w:t>Penetration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Testing</w:t>
            </w:r>
            <w:proofErr w:type="spellEnd"/>
            <w:r>
              <w:rPr>
                <w:color w:val="374151"/>
              </w:rPr>
              <w:t xml:space="preserve"> — teste de penetração baseado em ameaças (DORA </w:t>
            </w:r>
            <w:proofErr w:type="spellStart"/>
            <w:r>
              <w:rPr>
                <w:color w:val="374151"/>
              </w:rPr>
              <w:t>Art</w:t>
            </w:r>
            <w:proofErr w:type="spellEnd"/>
            <w:r>
              <w:rPr>
                <w:color w:val="374151"/>
              </w:rPr>
              <w:t>. 26.º)</w:t>
            </w:r>
          </w:p>
        </w:tc>
      </w:tr>
      <w:tr w:rsidR="00BF0272" w14:paraId="46FE8FF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8682CC2" w14:textId="77777777" w:rsidR="00BF0272" w:rsidRDefault="00000000">
            <w:r>
              <w:rPr>
                <w:b/>
                <w:color w:val="374151"/>
              </w:rPr>
              <w:t>TTP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5F89DD60" w14:textId="77777777" w:rsidR="00BF0272" w:rsidRDefault="00000000">
            <w:proofErr w:type="spellStart"/>
            <w:r>
              <w:rPr>
                <w:color w:val="374151"/>
              </w:rPr>
              <w:t>Tactics</w:t>
            </w:r>
            <w:proofErr w:type="spellEnd"/>
            <w:r>
              <w:rPr>
                <w:color w:val="374151"/>
              </w:rPr>
              <w:t xml:space="preserve">, </w:t>
            </w:r>
            <w:proofErr w:type="spellStart"/>
            <w:r>
              <w:rPr>
                <w:color w:val="374151"/>
              </w:rPr>
              <w:t>Techniques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and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Procedures</w:t>
            </w:r>
            <w:proofErr w:type="spellEnd"/>
            <w:r>
              <w:rPr>
                <w:color w:val="374151"/>
              </w:rPr>
              <w:t xml:space="preserve"> — táticas, técnicas e procedimentos (MITRE ATT&amp;CK)</w:t>
            </w:r>
          </w:p>
        </w:tc>
      </w:tr>
      <w:tr w:rsidR="00BF0272" w14:paraId="1F48BBF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2EE65D70" w14:textId="77777777" w:rsidR="00BF0272" w:rsidRDefault="00000000">
            <w:r>
              <w:rPr>
                <w:b/>
                <w:color w:val="374151"/>
              </w:rPr>
              <w:t>CVE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569B4F94" w14:textId="77777777" w:rsidR="00BF0272" w:rsidRDefault="00000000">
            <w:proofErr w:type="spellStart"/>
            <w:r>
              <w:rPr>
                <w:color w:val="374151"/>
              </w:rPr>
              <w:t>Common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Vulnerabilities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and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Exposures</w:t>
            </w:r>
            <w:proofErr w:type="spellEnd"/>
            <w:r>
              <w:rPr>
                <w:color w:val="374151"/>
              </w:rPr>
              <w:t xml:space="preserve"> — base de dados pública de vulnerabilidades</w:t>
            </w:r>
          </w:p>
        </w:tc>
      </w:tr>
      <w:tr w:rsidR="00BF0272" w14:paraId="11809C4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45F5BA7" w14:textId="77777777" w:rsidR="00BF0272" w:rsidRDefault="00000000">
            <w:r>
              <w:rPr>
                <w:b/>
                <w:color w:val="374151"/>
              </w:rPr>
              <w:t>CVSS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194BF19C" w14:textId="77777777" w:rsidR="00BF0272" w:rsidRDefault="00000000">
            <w:proofErr w:type="spellStart"/>
            <w:r>
              <w:rPr>
                <w:color w:val="374151"/>
              </w:rPr>
              <w:t>Common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Vulnerability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Scoring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System</w:t>
            </w:r>
            <w:proofErr w:type="spellEnd"/>
            <w:r>
              <w:rPr>
                <w:color w:val="374151"/>
              </w:rPr>
              <w:t xml:space="preserve"> — sistema de pontuação de vulnerabilidades (0-10)</w:t>
            </w:r>
          </w:p>
        </w:tc>
      </w:tr>
      <w:tr w:rsidR="00BF0272" w14:paraId="6F87B42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DF828E3" w14:textId="77777777" w:rsidR="00BF0272" w:rsidRDefault="00000000">
            <w:r>
              <w:rPr>
                <w:b/>
                <w:color w:val="374151"/>
              </w:rPr>
              <w:t>RGPD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</w:tcPr>
          <w:p w14:paraId="04453ED2" w14:textId="77777777" w:rsidR="00BF0272" w:rsidRDefault="00000000">
            <w:r>
              <w:rPr>
                <w:color w:val="374151"/>
              </w:rPr>
              <w:t>Regulamento Geral sobre a Proteção de Dados (UE 2016/679)</w:t>
            </w:r>
          </w:p>
        </w:tc>
      </w:tr>
      <w:tr w:rsidR="00BF0272" w14:paraId="24D09AA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441779BD" w14:textId="77777777" w:rsidR="00BF0272" w:rsidRDefault="00000000">
            <w:r>
              <w:rPr>
                <w:b/>
                <w:color w:val="374151"/>
              </w:rPr>
              <w:t>DORA</w:t>
            </w:r>
          </w:p>
        </w:tc>
        <w:tc>
          <w:tcPr>
            <w:tcW w:w="451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53A6106A" w14:textId="77777777" w:rsidR="00BF0272" w:rsidRDefault="00000000">
            <w:r>
              <w:rPr>
                <w:color w:val="374151"/>
              </w:rPr>
              <w:t xml:space="preserve">Digital </w:t>
            </w:r>
            <w:proofErr w:type="spellStart"/>
            <w:r>
              <w:rPr>
                <w:color w:val="374151"/>
              </w:rPr>
              <w:t>Operational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Resilience</w:t>
            </w:r>
            <w:proofErr w:type="spellEnd"/>
            <w:r>
              <w:rPr>
                <w:color w:val="374151"/>
              </w:rPr>
              <w:t xml:space="preserve"> </w:t>
            </w:r>
            <w:proofErr w:type="spellStart"/>
            <w:r>
              <w:rPr>
                <w:color w:val="374151"/>
              </w:rPr>
              <w:t>Act</w:t>
            </w:r>
            <w:proofErr w:type="spellEnd"/>
            <w:r>
              <w:rPr>
                <w:color w:val="374151"/>
              </w:rPr>
              <w:t xml:space="preserve"> — Regulamento (UE) 2022/2554 para o setor financeiro</w:t>
            </w:r>
          </w:p>
        </w:tc>
      </w:tr>
    </w:tbl>
    <w:p w14:paraId="71CA0B4D" w14:textId="77777777" w:rsidR="00BF0272" w:rsidRDefault="00000000">
      <w:pPr>
        <w:pStyle w:val="Ttulo1"/>
      </w:pPr>
      <w:bookmarkStart w:id="39" w:name="_Toc235728032"/>
      <w:r>
        <w:rPr>
          <w:b/>
          <w:color w:val="1E3A8A"/>
          <w:sz w:val="28"/>
        </w:rPr>
        <w:t xml:space="preserve">14. Referências a outros </w:t>
      </w:r>
      <w:proofErr w:type="spellStart"/>
      <w:r>
        <w:rPr>
          <w:b/>
          <w:color w:val="1E3A8A"/>
          <w:sz w:val="28"/>
        </w:rPr>
        <w:t>templates</w:t>
      </w:r>
      <w:proofErr w:type="spellEnd"/>
      <w:r>
        <w:rPr>
          <w:b/>
          <w:color w:val="1E3A8A"/>
          <w:sz w:val="28"/>
        </w:rPr>
        <w:t xml:space="preserve"> NIS2</w:t>
      </w:r>
      <w:bookmarkEnd w:id="39"/>
    </w:p>
    <w:p w14:paraId="6F2074DE" w14:textId="77777777" w:rsidR="00BF0272" w:rsidRDefault="00000000">
      <w:r>
        <w:rPr>
          <w:color w:val="374151"/>
          <w:sz w:val="22"/>
        </w:rPr>
        <w:t xml:space="preserve">Este </w:t>
      </w:r>
      <w:proofErr w:type="spellStart"/>
      <w:r>
        <w:rPr>
          <w:color w:val="374151"/>
          <w:sz w:val="22"/>
        </w:rPr>
        <w:t>template</w:t>
      </w:r>
      <w:proofErr w:type="spellEnd"/>
      <w:r>
        <w:rPr>
          <w:color w:val="374151"/>
          <w:sz w:val="22"/>
        </w:rPr>
        <w:t xml:space="preserve"> integra-se com o seguinte conjunto de políticas e procedimentos NIS2 disponibilizados em nis2-portugal.com/</w:t>
      </w:r>
      <w:proofErr w:type="spellStart"/>
      <w:r>
        <w:rPr>
          <w:color w:val="374151"/>
          <w:sz w:val="22"/>
        </w:rPr>
        <w:t>pages</w:t>
      </w:r>
      <w:proofErr w:type="spellEnd"/>
      <w:r>
        <w:rPr>
          <w:color w:val="374151"/>
          <w:sz w:val="22"/>
        </w:rPr>
        <w:t>/templates.html:</w:t>
      </w:r>
    </w:p>
    <w:p w14:paraId="4B305811" w14:textId="77777777" w:rsidR="00BF0272" w:rsidRDefault="00000000">
      <w:r>
        <w:rPr>
          <w:color w:val="374151"/>
          <w:sz w:val="22"/>
        </w:rPr>
        <w:t>• Política de segurança da informação — documento de cúpula</w:t>
      </w:r>
    </w:p>
    <w:p w14:paraId="18AF61EA" w14:textId="77777777" w:rsidR="00BF0272" w:rsidRDefault="00000000">
      <w:r>
        <w:rPr>
          <w:color w:val="374151"/>
          <w:sz w:val="22"/>
        </w:rPr>
        <w:t>• Plano de resposta a incidentes — procedimento operacional</w:t>
      </w:r>
    </w:p>
    <w:p w14:paraId="1B4C0A67" w14:textId="77777777" w:rsidR="00BF0272" w:rsidRDefault="00000000">
      <w:r>
        <w:rPr>
          <w:color w:val="374151"/>
          <w:sz w:val="22"/>
        </w:rPr>
        <w:t xml:space="preserve">• Matriz de riscos NIS2 — avaliação de riscos </w:t>
      </w:r>
      <w:proofErr w:type="spellStart"/>
      <w:r>
        <w:rPr>
          <w:color w:val="374151"/>
          <w:sz w:val="22"/>
        </w:rPr>
        <w:t>Art</w:t>
      </w:r>
      <w:proofErr w:type="spellEnd"/>
      <w:r>
        <w:rPr>
          <w:color w:val="374151"/>
          <w:sz w:val="22"/>
        </w:rPr>
        <w:t>. 21.º</w:t>
      </w:r>
    </w:p>
    <w:p w14:paraId="4F37D454" w14:textId="77777777" w:rsidR="00BF0272" w:rsidRDefault="00000000">
      <w:r>
        <w:rPr>
          <w:color w:val="374151"/>
          <w:sz w:val="22"/>
        </w:rPr>
        <w:t>• Plano de continuidade de negócio — BIA + DRP</w:t>
      </w:r>
    </w:p>
    <w:p w14:paraId="2BD97C39" w14:textId="77777777" w:rsidR="00BF0272" w:rsidRDefault="00000000">
      <w:r>
        <w:rPr>
          <w:color w:val="374151"/>
          <w:sz w:val="22"/>
        </w:rPr>
        <w:t>• Política de controlo de acessos — gestão IAM/PAM</w:t>
      </w:r>
    </w:p>
    <w:p w14:paraId="517F6B27" w14:textId="77777777" w:rsidR="00BF0272" w:rsidRDefault="00000000">
      <w:r>
        <w:rPr>
          <w:color w:val="374151"/>
          <w:sz w:val="22"/>
        </w:rPr>
        <w:t xml:space="preserve">• </w:t>
      </w:r>
      <w:proofErr w:type="spellStart"/>
      <w:r>
        <w:rPr>
          <w:color w:val="374151"/>
          <w:sz w:val="22"/>
        </w:rPr>
        <w:t>Checklist</w:t>
      </w:r>
      <w:proofErr w:type="spellEnd"/>
      <w:r>
        <w:rPr>
          <w:color w:val="374151"/>
          <w:sz w:val="22"/>
        </w:rPr>
        <w:t xml:space="preserve"> de conformidade </w:t>
      </w:r>
      <w:proofErr w:type="spellStart"/>
      <w:r>
        <w:rPr>
          <w:color w:val="374151"/>
          <w:sz w:val="22"/>
        </w:rPr>
        <w:t>Art</w:t>
      </w:r>
      <w:proofErr w:type="spellEnd"/>
      <w:r>
        <w:rPr>
          <w:color w:val="374151"/>
          <w:sz w:val="22"/>
        </w:rPr>
        <w:t>. 21.º — autoavaliação</w:t>
      </w:r>
    </w:p>
    <w:p w14:paraId="203E85D8" w14:textId="77777777" w:rsidR="00BF0272" w:rsidRDefault="00000000">
      <w:r>
        <w:rPr>
          <w:color w:val="374151"/>
          <w:sz w:val="22"/>
        </w:rPr>
        <w:lastRenderedPageBreak/>
        <w:t xml:space="preserve">• Questionário de </w:t>
      </w:r>
      <w:proofErr w:type="spellStart"/>
      <w:r>
        <w:rPr>
          <w:color w:val="374151"/>
          <w:sz w:val="22"/>
        </w:rPr>
        <w:t>due</w:t>
      </w:r>
      <w:proofErr w:type="spellEnd"/>
      <w:r>
        <w:rPr>
          <w:color w:val="374151"/>
          <w:sz w:val="22"/>
        </w:rPr>
        <w:t xml:space="preserve"> </w:t>
      </w:r>
      <w:proofErr w:type="spellStart"/>
      <w:r>
        <w:rPr>
          <w:color w:val="374151"/>
          <w:sz w:val="22"/>
        </w:rPr>
        <w:t>diligence</w:t>
      </w:r>
      <w:proofErr w:type="spellEnd"/>
      <w:r>
        <w:rPr>
          <w:color w:val="374151"/>
          <w:sz w:val="22"/>
        </w:rPr>
        <w:t xml:space="preserve"> de fornecedores — cadeia de abastecimento</w:t>
      </w:r>
    </w:p>
    <w:p w14:paraId="19A17EAC" w14:textId="77777777" w:rsidR="00BF0272" w:rsidRDefault="00000000">
      <w:r>
        <w:rPr>
          <w:color w:val="374151"/>
          <w:sz w:val="22"/>
        </w:rPr>
        <w:t xml:space="preserve">• Programa de formação e sensibilização — </w:t>
      </w:r>
      <w:proofErr w:type="spellStart"/>
      <w:r>
        <w:rPr>
          <w:color w:val="374151"/>
          <w:sz w:val="22"/>
        </w:rPr>
        <w:t>Art</w:t>
      </w:r>
      <w:proofErr w:type="spellEnd"/>
      <w:r>
        <w:rPr>
          <w:color w:val="374151"/>
          <w:sz w:val="22"/>
        </w:rPr>
        <w:t>. 20.º DL 125/2025</w:t>
      </w:r>
    </w:p>
    <w:p w14:paraId="63853FBC" w14:textId="77777777" w:rsidR="00BF0272" w:rsidRDefault="00000000">
      <w:r>
        <w:rPr>
          <w:i/>
          <w:color w:val="374151"/>
        </w:rPr>
        <w:t xml:space="preserve">Todos os </w:t>
      </w:r>
      <w:proofErr w:type="spellStart"/>
      <w:r>
        <w:rPr>
          <w:i/>
          <w:color w:val="374151"/>
        </w:rPr>
        <w:t>templates</w:t>
      </w:r>
      <w:proofErr w:type="spellEnd"/>
      <w:r>
        <w:rPr>
          <w:i/>
          <w:color w:val="374151"/>
        </w:rPr>
        <w:t xml:space="preserve"> referidos estão disponíveis para download gratuito em https://nis2-portugal.com/pages/templates.html. A utilização conjunta garante cobertura completa dos requisitos do </w:t>
      </w:r>
      <w:proofErr w:type="spellStart"/>
      <w:r>
        <w:rPr>
          <w:i/>
          <w:color w:val="374151"/>
        </w:rPr>
        <w:t>Art</w:t>
      </w:r>
      <w:proofErr w:type="spellEnd"/>
      <w:r>
        <w:rPr>
          <w:i/>
          <w:color w:val="374151"/>
        </w:rPr>
        <w:t>. 21.º do DL 125/2025.</w:t>
      </w:r>
    </w:p>
    <w:sectPr w:rsidR="00BF02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A0A94" w14:textId="77777777" w:rsidR="006E6BD6" w:rsidRDefault="006E6BD6">
      <w:r>
        <w:separator/>
      </w:r>
    </w:p>
  </w:endnote>
  <w:endnote w:type="continuationSeparator" w:id="0">
    <w:p w14:paraId="78DDAD49" w14:textId="77777777" w:rsidR="006E6BD6" w:rsidRDefault="006E6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E2C30" w14:textId="77777777" w:rsidR="00BF0272" w:rsidRDefault="00000000">
    <w:pPr>
      <w:pBdr>
        <w:top w:val="single" w:sz="6" w:space="1" w:color="1E3A8A"/>
      </w:pBdr>
      <w:jc w:val="center"/>
    </w:pPr>
    <w:proofErr w:type="gramStart"/>
    <w:r>
      <w:rPr>
        <w:rFonts w:ascii="Calibri" w:eastAsia="Calibri" w:hAnsi="Calibri" w:cs="Calibri"/>
        <w:color w:val="9CA3AF"/>
        <w:sz w:val="18"/>
        <w:szCs w:val="18"/>
      </w:rPr>
      <w:t>Confidencial  |</w:t>
    </w:r>
    <w:proofErr w:type="gramEnd"/>
    <w:r>
      <w:rPr>
        <w:rFonts w:ascii="Calibri" w:eastAsia="Calibri" w:hAnsi="Calibri" w:cs="Calibri"/>
        <w:color w:val="9CA3AF"/>
        <w:sz w:val="18"/>
        <w:szCs w:val="18"/>
      </w:rPr>
      <w:t xml:space="preserve">  Página </w:t>
    </w:r>
    <w:r>
      <w:rPr>
        <w:rFonts w:ascii="Calibri" w:eastAsia="Calibri" w:hAnsi="Calibri" w:cs="Calibri"/>
        <w:color w:val="9CA3AF"/>
        <w:sz w:val="18"/>
        <w:szCs w:val="18"/>
      </w:rPr>
      <w:fldChar w:fldCharType="begin"/>
    </w:r>
    <w:r>
      <w:rPr>
        <w:rFonts w:ascii="Calibri" w:eastAsia="Calibri" w:hAnsi="Calibri" w:cs="Calibri"/>
        <w:color w:val="9CA3AF"/>
        <w:sz w:val="18"/>
        <w:szCs w:val="18"/>
      </w:rPr>
      <w:instrText>PAGE</w:instrText>
    </w:r>
    <w:r>
      <w:rPr>
        <w:rFonts w:ascii="Calibri" w:eastAsia="Calibri" w:hAnsi="Calibri" w:cs="Calibri"/>
        <w:color w:val="9CA3AF"/>
        <w:sz w:val="18"/>
        <w:szCs w:val="18"/>
      </w:rPr>
      <w:fldChar w:fldCharType="separate"/>
    </w:r>
    <w:r w:rsidR="004528F4">
      <w:rPr>
        <w:rFonts w:ascii="Calibri" w:eastAsia="Calibri" w:hAnsi="Calibri" w:cs="Calibri"/>
        <w:noProof/>
        <w:color w:val="9CA3AF"/>
        <w:sz w:val="18"/>
        <w:szCs w:val="18"/>
      </w:rPr>
      <w:t>1</w:t>
    </w:r>
    <w:r>
      <w:rPr>
        <w:rFonts w:ascii="Calibri" w:eastAsia="Calibri" w:hAnsi="Calibri" w:cs="Calibri"/>
        <w:color w:val="9CA3AF"/>
        <w:sz w:val="18"/>
        <w:szCs w:val="18"/>
      </w:rPr>
      <w:fldChar w:fldCharType="end"/>
    </w:r>
    <w:r>
      <w:rPr>
        <w:rFonts w:ascii="Calibri" w:eastAsia="Calibri" w:hAnsi="Calibri" w:cs="Calibri"/>
        <w:color w:val="9CA3AF"/>
        <w:sz w:val="18"/>
        <w:szCs w:val="18"/>
      </w:rPr>
      <w:t xml:space="preserve"> de </w:t>
    </w:r>
    <w:r>
      <w:rPr>
        <w:rFonts w:ascii="Calibri" w:eastAsia="Calibri" w:hAnsi="Calibri" w:cs="Calibri"/>
        <w:color w:val="9CA3AF"/>
        <w:sz w:val="18"/>
        <w:szCs w:val="18"/>
      </w:rPr>
      <w:fldChar w:fldCharType="begin"/>
    </w:r>
    <w:r>
      <w:rPr>
        <w:rFonts w:ascii="Calibri" w:eastAsia="Calibri" w:hAnsi="Calibri" w:cs="Calibri"/>
        <w:color w:val="9CA3AF"/>
        <w:sz w:val="18"/>
        <w:szCs w:val="18"/>
      </w:rPr>
      <w:instrText>NUMPAGES</w:instrText>
    </w:r>
    <w:r>
      <w:rPr>
        <w:rFonts w:ascii="Calibri" w:eastAsia="Calibri" w:hAnsi="Calibri" w:cs="Calibri"/>
        <w:color w:val="9CA3AF"/>
        <w:sz w:val="18"/>
        <w:szCs w:val="18"/>
      </w:rPr>
      <w:fldChar w:fldCharType="separate"/>
    </w:r>
    <w:r w:rsidR="004528F4">
      <w:rPr>
        <w:rFonts w:ascii="Calibri" w:eastAsia="Calibri" w:hAnsi="Calibri" w:cs="Calibri"/>
        <w:noProof/>
        <w:color w:val="9CA3AF"/>
        <w:sz w:val="18"/>
        <w:szCs w:val="18"/>
      </w:rPr>
      <w:t>1</w:t>
    </w:r>
    <w:r>
      <w:rPr>
        <w:rFonts w:ascii="Calibri" w:eastAsia="Calibri" w:hAnsi="Calibri" w:cs="Calibri"/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53EFF" w14:textId="77777777" w:rsidR="006E6BD6" w:rsidRDefault="006E6BD6">
      <w:r>
        <w:separator/>
      </w:r>
    </w:p>
  </w:footnote>
  <w:footnote w:type="continuationSeparator" w:id="0">
    <w:p w14:paraId="2C4E8EAF" w14:textId="77777777" w:rsidR="006E6BD6" w:rsidRDefault="006E6B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A8F2F" w14:textId="77777777" w:rsidR="00BF0272" w:rsidRDefault="00000000">
    <w:pPr>
      <w:pBdr>
        <w:bottom w:val="single" w:sz="6" w:space="1" w:color="1E3A8A"/>
      </w:pBdr>
      <w:jc w:val="right"/>
    </w:pPr>
    <w:r>
      <w:rPr>
        <w:rFonts w:ascii="Calibri" w:eastAsia="Calibri" w:hAnsi="Calibri" w:cs="Calibri"/>
        <w:color w:val="9CA3AF"/>
        <w:sz w:val="18"/>
        <w:szCs w:val="18"/>
      </w:rPr>
      <w:t xml:space="preserve">Plano de resposta a incidentes de </w:t>
    </w:r>
    <w:proofErr w:type="spellStart"/>
    <w:r>
      <w:rPr>
        <w:rFonts w:ascii="Calibri" w:eastAsia="Calibri" w:hAnsi="Calibri" w:cs="Calibri"/>
        <w:color w:val="9CA3AF"/>
        <w:sz w:val="18"/>
        <w:szCs w:val="18"/>
      </w:rPr>
      <w:t>cibersegurança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A00AD"/>
    <w:multiLevelType w:val="hybridMultilevel"/>
    <w:tmpl w:val="3D9C123C"/>
    <w:lvl w:ilvl="0" w:tplc="F9107646">
      <w:start w:val="1"/>
      <w:numFmt w:val="bullet"/>
      <w:lvlText w:val="●"/>
      <w:lvlJc w:val="left"/>
      <w:pPr>
        <w:ind w:left="720" w:hanging="360"/>
      </w:pPr>
    </w:lvl>
    <w:lvl w:ilvl="1" w:tplc="C5E68FE8">
      <w:start w:val="1"/>
      <w:numFmt w:val="bullet"/>
      <w:lvlText w:val="○"/>
      <w:lvlJc w:val="left"/>
      <w:pPr>
        <w:ind w:left="1440" w:hanging="360"/>
      </w:pPr>
    </w:lvl>
    <w:lvl w:ilvl="2" w:tplc="5BBC9066">
      <w:start w:val="1"/>
      <w:numFmt w:val="bullet"/>
      <w:lvlText w:val="■"/>
      <w:lvlJc w:val="left"/>
      <w:pPr>
        <w:ind w:left="2160" w:hanging="360"/>
      </w:pPr>
    </w:lvl>
    <w:lvl w:ilvl="3" w:tplc="1A7680BA">
      <w:start w:val="1"/>
      <w:numFmt w:val="bullet"/>
      <w:lvlText w:val="●"/>
      <w:lvlJc w:val="left"/>
      <w:pPr>
        <w:ind w:left="2880" w:hanging="360"/>
      </w:pPr>
    </w:lvl>
    <w:lvl w:ilvl="4" w:tplc="F9C0C0C0">
      <w:start w:val="1"/>
      <w:numFmt w:val="bullet"/>
      <w:lvlText w:val="○"/>
      <w:lvlJc w:val="left"/>
      <w:pPr>
        <w:ind w:left="3600" w:hanging="360"/>
      </w:pPr>
    </w:lvl>
    <w:lvl w:ilvl="5" w:tplc="0D96AE42">
      <w:start w:val="1"/>
      <w:numFmt w:val="bullet"/>
      <w:lvlText w:val="■"/>
      <w:lvlJc w:val="left"/>
      <w:pPr>
        <w:ind w:left="4320" w:hanging="360"/>
      </w:pPr>
    </w:lvl>
    <w:lvl w:ilvl="6" w:tplc="862CDBD4">
      <w:start w:val="1"/>
      <w:numFmt w:val="bullet"/>
      <w:lvlText w:val="●"/>
      <w:lvlJc w:val="left"/>
      <w:pPr>
        <w:ind w:left="5040" w:hanging="360"/>
      </w:pPr>
    </w:lvl>
    <w:lvl w:ilvl="7" w:tplc="F6DAB000">
      <w:start w:val="1"/>
      <w:numFmt w:val="bullet"/>
      <w:lvlText w:val="●"/>
      <w:lvlJc w:val="left"/>
      <w:pPr>
        <w:ind w:left="5760" w:hanging="360"/>
      </w:pPr>
    </w:lvl>
    <w:lvl w:ilvl="8" w:tplc="803C1D8A">
      <w:start w:val="1"/>
      <w:numFmt w:val="bullet"/>
      <w:lvlText w:val="●"/>
      <w:lvlJc w:val="left"/>
      <w:pPr>
        <w:ind w:left="6480" w:hanging="360"/>
      </w:pPr>
    </w:lvl>
  </w:abstractNum>
  <w:num w:numId="1" w16cid:durableId="9970005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272"/>
    <w:rsid w:val="004528F4"/>
    <w:rsid w:val="006E6BD6"/>
    <w:rsid w:val="008C7BD1"/>
    <w:rsid w:val="00BF0272"/>
    <w:rsid w:val="00CA1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95FB4"/>
  <w15:docId w15:val="{50D70707-6E14-46FC-9511-0013BE796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4528F4"/>
    <w:pPr>
      <w:spacing w:after="100"/>
      <w:ind w:left="200"/>
    </w:pPr>
  </w:style>
  <w:style w:type="paragraph" w:styleId="ndice1">
    <w:name w:val="toc 1"/>
    <w:basedOn w:val="Normal"/>
    <w:next w:val="Normal"/>
    <w:autoRedefine/>
    <w:uiPriority w:val="39"/>
    <w:unhideWhenUsed/>
    <w:rsid w:val="004528F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19</Pages>
  <Words>5905</Words>
  <Characters>31887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resposta incidentes</vt:lpstr>
    </vt:vector>
  </TitlesOfParts>
  <Company/>
  <LinksUpToDate>false</LinksUpToDate>
  <CharactersWithSpaces>37717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resposta incidentes</dc:title>
  <dc:subject>Template NIS2 — conformidade DL 125/2025</dc:subject>
  <dc:creator>NIS2 Portugal — nis2-portugal.com</dc:creator>
  <cp:keywords>NIS2, DL 125/2025, cibersegurança, conformidade, Portugal</cp:keywords>
  <dc:description>Template profissional gratuito disponibilizado em nis2-portugal.com</dc:description>
  <cp:lastModifiedBy>Nuno Salvador</cp:lastModifiedBy>
  <cp:revision>2</cp:revision>
  <dcterms:created xsi:type="dcterms:W3CDTF">2026-03-18T13:34:00Z</dcterms:created>
  <dcterms:modified xsi:type="dcterms:W3CDTF">2026-07-23T18:52:00Z</dcterms:modified>
  <cp:category>Template NIS2</cp:category>
</cp:coreProperties>
</file>