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200"/>
        <w:jc w:val="center"/>
      </w:pPr>
      <w:r>
        <w:rPr>
          <w:i/>
          <w:iCs/>
          <w:color w:val="666666"/>
          <w:sz w:val="28"/>
          <w:szCs w:val="28"/>
        </w:rPr>
        <w:t xml:space="preserve">[Nome da organização]</w:t>
      </w:r>
    </w:p>
    <w:p>
      <w:pPr>
        <w:spacing w:after="400"/>
        <w:jc w:val="center"/>
      </w:pPr>
      <w:r>
        <w:rPr>
          <w:b/>
          <w:bCs/>
          <w:color w:val="2E75B6"/>
          <w:sz w:val="44"/>
          <w:szCs w:val="44"/>
        </w:rPr>
        <w:t xml:space="preserve">Playbook — Resposta a Ransomware</w:t>
      </w:r>
    </w:p>
    <w:p>
      <w:pPr>
        <w:spacing w:after="800"/>
        <w:jc w:val="center"/>
      </w:pPr>
      <w:r>
        <w:rPr>
          <w:i/>
          <w:iCs/>
          <w:color w:val="333333"/>
          <w:sz w:val="24"/>
          <w:szCs w:val="24"/>
        </w:rPr>
        <w:t xml:space="preserve">Procedimento operacional alinhado com CISA StopRansomware e MITRE ATT&amp;CK</w:t>
      </w:r>
    </w:p>
    <w:p>
      <w:pPr>
        <w:spacing w:after="100"/>
        <w:jc w:val="center"/>
      </w:pPr>
      <w:r>
        <w:rPr>
          <w:sz w:val="22"/>
          <w:szCs w:val="22"/>
        </w:rPr>
        <w:t xml:space="preserve">Versão: 1.0</w:t>
      </w:r>
    </w:p>
    <w:p>
      <w:pPr>
        <w:spacing w:after="100"/>
        <w:jc w:val="center"/>
      </w:pPr>
      <w:r>
        <w:rPr>
          <w:sz w:val="22"/>
          <w:szCs w:val="22"/>
        </w:rPr>
        <w:t xml:space="preserve">Data: abril de 2026</w:t>
      </w:r>
    </w:p>
    <w:p>
      <w:pPr>
        <w:spacing w:after="600"/>
        <w:jc w:val="center"/>
      </w:pPr>
      <w:r>
        <w:rPr>
          <w:sz w:val="22"/>
          <w:szCs w:val="22"/>
        </w:rPr>
        <w:t xml:space="preserve">Classificação: Confidencial</w:t>
      </w:r>
    </w:p>
    <w:p>
      <w:r>
        <w:br w:type="page"/>
      </w:r>
    </w:p>
    <w:p>
      <w:pPr>
        <w:pStyle w:val="Heading2"/>
      </w:pPr>
      <w:r>
        <w:t xml:space="preserve">Controlo de versões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000"/>
        <w:gridCol w:w="3000"/>
        <w:gridCol w:w="1426"/>
      </w:tblGrid>
      <w:tr>
        <w:trPr>
          <w:tblHeader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Versão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Data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Alterações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Aprovado por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1.0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abril de 2026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[Autor]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Versão inicial</w:t>
            </w:r>
          </w:p>
        </w:tc>
        <w:tc>
          <w:tcPr>
            <w:tcW w:type="dxa" w:w="1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[Aprovador]</w:t>
            </w:r>
          </w:p>
        </w:tc>
      </w:tr>
    </w:tbl>
    <w:p>
      <w:pPr>
        <w:spacing w:after="300"/>
      </w:pPr>
      <w:r>
        <w:t xml:space="preserve"/>
      </w:r>
    </w:p>
    <w:p>
      <w:pPr>
        <w:pStyle w:val="Heading1"/>
      </w:pPr>
      <w:r>
        <w:t xml:space="preserve">1. Ativação</w:t>
      </w:r>
    </w:p>
    <w:p>
      <w:pPr>
        <w:spacing w:after="120"/>
      </w:pPr>
      <w:r>
        <w:t xml:space="preserve">Este playbook é ativado sempre que se verifique qualquer um dos indicadores:</w:t>
      </w:r>
    </w:p>
    <w:p>
      <w:pPr>
        <w:pStyle w:val="ListParagraph"/>
        <w:numPr>
          <w:ilvl w:val="0"/>
          <w:numId w:val="2"/>
        </w:numPr>
      </w:pPr>
      <w:r>
        <w:t xml:space="preserve">Ficheiros renomeados com extensão anómala (ex.: .locked, .encrypted, .&lt;random&gt;);</w:t>
      </w:r>
    </w:p>
    <w:p>
      <w:pPr>
        <w:pStyle w:val="ListParagraph"/>
        <w:numPr>
          <w:ilvl w:val="0"/>
          <w:numId w:val="2"/>
        </w:numPr>
      </w:pPr>
      <w:r>
        <w:t xml:space="preserve">Nota de resgate visível no desktop, partilha de rede, ou portal de vítimas;</w:t>
      </w:r>
    </w:p>
    <w:p>
      <w:pPr>
        <w:pStyle w:val="ListParagraph"/>
        <w:numPr>
          <w:ilvl w:val="0"/>
          <w:numId w:val="2"/>
        </w:numPr>
      </w:pPr>
      <w:r>
        <w:t xml:space="preserve">Alertas em massa de EDR sobre processos suspeitos (cifra, vssadmin, bcdedit, wbadmin delete);</w:t>
      </w:r>
    </w:p>
    <w:p>
      <w:pPr>
        <w:pStyle w:val="ListParagraph"/>
        <w:numPr>
          <w:ilvl w:val="0"/>
          <w:numId w:val="2"/>
        </w:numPr>
      </w:pPr>
      <w:r>
        <w:t xml:space="preserve">Degradação massiva de performance em sistemas de ficheiros;</w:t>
      </w:r>
    </w:p>
    <w:p>
      <w:pPr>
        <w:pStyle w:val="ListParagraph"/>
        <w:numPr>
          <w:ilvl w:val="0"/>
          <w:numId w:val="2"/>
        </w:numPr>
      </w:pPr>
      <w:r>
        <w:t xml:space="preserve">Reporte externo credível (fornecedor, parceiro, CNCS, grupo de ameaça).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Classificação por defeito: P1 </w:t>
      </w:r>
      <w:r>
        <w:t xml:space="preserve">até prova em contrário.</w:t>
      </w:r>
    </w:p>
    <w:p>
      <w:pPr>
        <w:pStyle w:val="Heading1"/>
      </w:pPr>
      <w:r>
        <w:t xml:space="preserve">2. Fase 1 — Contenção imediata (primeiras 2 horas)</w:t>
      </w:r>
    </w:p>
    <w:p>
      <w:pPr>
        <w:pStyle w:val="ListParagraph"/>
        <w:numPr>
          <w:ilvl w:val="0"/>
          <w:numId w:val="3"/>
        </w:numPr>
      </w:pPr>
      <w:r>
        <w:t xml:space="preserve">Isolar imediatamente hosts afetados: desligar interface de rede (preferível) ou colocar em VLAN de quarentena. NÃO desligar o host — preserva evidência volátil.</w:t>
      </w:r>
    </w:p>
    <w:p>
      <w:pPr>
        <w:pStyle w:val="ListParagraph"/>
        <w:numPr>
          <w:ilvl w:val="0"/>
          <w:numId w:val="3"/>
        </w:numPr>
      </w:pPr>
      <w:r>
        <w:t xml:space="preserve">Isolar segmentos de rede onde a propagação foi observada (firewall rules, ACLs, desligar switches).</w:t>
      </w:r>
    </w:p>
    <w:p>
      <w:pPr>
        <w:pStyle w:val="ListParagraph"/>
        <w:numPr>
          <w:ilvl w:val="0"/>
          <w:numId w:val="3"/>
        </w:numPr>
      </w:pPr>
      <w:r>
        <w:t xml:space="preserve">Desabilitar contas suspeitas de estar comprometidas (admin, serviço) mantendo log das ações.</w:t>
      </w:r>
    </w:p>
    <w:p>
      <w:pPr>
        <w:pStyle w:val="ListParagraph"/>
        <w:numPr>
          <w:ilvl w:val="0"/>
          <w:numId w:val="3"/>
        </w:numPr>
      </w:pPr>
      <w:r>
        <w:t xml:space="preserve">Suspender tarefas agendadas e GPOs de domínio que possam propagar malware.</w:t>
      </w:r>
    </w:p>
    <w:p>
      <w:pPr>
        <w:pStyle w:val="ListParagraph"/>
        <w:numPr>
          <w:ilvl w:val="0"/>
          <w:numId w:val="3"/>
        </w:numPr>
      </w:pPr>
      <w:r>
        <w:t xml:space="preserve">Proteger backups: desligar acesso de rede aos sistemas de backup; validar integridade das cópias offline/imutáveis.</w:t>
      </w:r>
    </w:p>
    <w:p>
      <w:pPr>
        <w:pStyle w:val="ListParagraph"/>
        <w:numPr>
          <w:ilvl w:val="0"/>
          <w:numId w:val="3"/>
        </w:numPr>
      </w:pPr>
      <w:r>
        <w:t xml:space="preserve">Abrir ticket P1 e iniciar war room (ver Plano de Comunicação de Crise).</w:t>
      </w:r>
    </w:p>
    <w:p>
      <w:pPr>
        <w:pStyle w:val="ListParagraph"/>
        <w:numPr>
          <w:ilvl w:val="0"/>
          <w:numId w:val="3"/>
        </w:numPr>
      </w:pPr>
      <w:r>
        <w:t xml:space="preserve">Notificar CISO, Direção, DPO e Jurídico — decisão de ativação do BCP é reavaliada hora a hora.</w:t>
      </w:r>
    </w:p>
    <w:p>
      <w:pPr>
        <w:pStyle w:val="Heading1"/>
      </w:pPr>
      <w:r>
        <w:t xml:space="preserve">3. Fase 2 — Identificação (primeiras 4 horas)</w:t>
      </w:r>
    </w:p>
    <w:p>
      <w:pPr>
        <w:pStyle w:val="Heading2"/>
      </w:pPr>
      <w:r>
        <w:t xml:space="preserve">3.1 Preservação de evidência</w:t>
      </w:r>
    </w:p>
    <w:p>
      <w:pPr>
        <w:pStyle w:val="ListParagraph"/>
        <w:numPr>
          <w:ilvl w:val="0"/>
          <w:numId w:val="2"/>
        </w:numPr>
      </w:pPr>
      <w:r>
        <w:t xml:space="preserve">Dump de memória RAM de 1-2 hosts representativos ANTES de qualquer ação invasiva (WinPMEM, LiME);</w:t>
      </w:r>
    </w:p>
    <w:p>
      <w:pPr>
        <w:pStyle w:val="ListParagraph"/>
        <w:numPr>
          <w:ilvl w:val="0"/>
          <w:numId w:val="2"/>
        </w:numPr>
      </w:pPr>
      <w:r>
        <w:t xml:space="preserve">Imagem forense de pelo menos um host atingido (FTK Imager, dcfldd);</w:t>
      </w:r>
    </w:p>
    <w:p>
      <w:pPr>
        <w:pStyle w:val="ListParagraph"/>
        <w:numPr>
          <w:ilvl w:val="0"/>
          <w:numId w:val="2"/>
        </w:numPr>
      </w:pPr>
      <w:r>
        <w:t xml:space="preserve">Colecta de logs: EDR, SIEM, firewall, DNS, proxy, AD — idealmente cobrindo 30 dias antes do incidente;</w:t>
      </w:r>
    </w:p>
    <w:p>
      <w:pPr>
        <w:pStyle w:val="ListParagraph"/>
        <w:numPr>
          <w:ilvl w:val="0"/>
          <w:numId w:val="2"/>
        </w:numPr>
      </w:pPr>
      <w:r>
        <w:t xml:space="preserve">Cadeia de custódia formal para todas as evidências (quem, quando, onde, hash SHA-256).</w:t>
      </w:r>
    </w:p>
    <w:p>
      <w:pPr>
        <w:pStyle w:val="Heading2"/>
      </w:pPr>
      <w:r>
        <w:t xml:space="preserve">3.2 Identificação do ransomware</w:t>
      </w:r>
    </w:p>
    <w:p>
      <w:pPr>
        <w:pStyle w:val="ListParagraph"/>
        <w:numPr>
          <w:ilvl w:val="0"/>
          <w:numId w:val="2"/>
        </w:numPr>
      </w:pPr>
      <w:r>
        <w:t xml:space="preserve">Submeter amostra (nota de resgate + ficheiro cifrado de exemplo) a ID Ransomware (id-ransomware.malwarehunterteam.com) e a NoMoreRansom (nomoreransom.org) — verificar se existe decriptor público;</w:t>
      </w:r>
    </w:p>
    <w:p>
      <w:pPr>
        <w:pStyle w:val="ListParagraph"/>
        <w:numPr>
          <w:ilvl w:val="0"/>
          <w:numId w:val="2"/>
        </w:numPr>
      </w:pPr>
      <w:r>
        <w:t xml:space="preserve">Cruzar com CISA StopRansomware e CNCS/CERT.PT;</w:t>
      </w:r>
    </w:p>
    <w:p>
      <w:pPr>
        <w:pStyle w:val="ListParagraph"/>
        <w:numPr>
          <w:ilvl w:val="0"/>
          <w:numId w:val="2"/>
        </w:numPr>
      </w:pPr>
      <w:r>
        <w:t xml:space="preserve">Mapear técnicas ATT&amp;CK observadas: Initial Access, Credential Access, Lateral Movement, Impact (T1486, T1490, T1489, T1561).</w:t>
      </w:r>
    </w:p>
    <w:p>
      <w:pPr>
        <w:pStyle w:val="Heading1"/>
      </w:pPr>
      <w:r>
        <w:t xml:space="preserve">4. Fase 3 — Avaliação (primeiras 8 horas)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Pergunta crítica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Fonte de resposta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Dados pessoais foram acedidos ou exfiltrados?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Análise forense + logs de exfiltração + site de leaks do grupo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Há double extortion? Grupo tem histórico de publicação?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Threat intel sobre o grupo (ex.: LockBit, BlackCat)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Quantos sistemas cifrados? Abrangência por criticidade?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Inventário atualizado + relatório EDR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Backups estão intactos e restauráveis no prazo do MTD?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Equipa de IT Ops + teste de restauro real, não apenas verificação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Existe decriptor público ou privado?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NoMoreRansom + fornecedores DFIR + seguradora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Qual o custo estimado de recuperação sem pagar vs. pagar?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Modelação financeira conjunta com Direção</w:t>
            </w:r>
          </w:p>
        </w:tc>
      </w:tr>
    </w:tbl>
    <w:p>
      <w:pPr>
        <w:pStyle w:val="Heading1"/>
      </w:pPr>
      <w:r>
        <w:t xml:space="preserve">5. Fase 4 — Decisão de pagamento</w:t>
      </w:r>
    </w:p>
    <w:p>
      <w:pPr>
        <w:spacing w:after="120"/>
      </w:pPr>
      <w:r>
        <w:t xml:space="preserve">A decisão de pagar ou não pagar o resgate é tomada pela Direção, com input do CISO, Jurídico, DPO, seguradora e, quando aplicável, do CNCS. Nunca pelo CSIRT em isolamento.</w:t>
      </w:r>
    </w:p>
    <w:p>
      <w:pPr>
        <w:pStyle w:val="Heading2"/>
      </w:pPr>
      <w:r>
        <w:t xml:space="preserve">5.1 Árvore de decisão</w:t>
      </w:r>
    </w:p>
    <w:p>
      <w:pPr>
        <w:pStyle w:val="ListParagraph"/>
        <w:numPr>
          <w:ilvl w:val="0"/>
          <w:numId w:val="3"/>
        </w:numPr>
      </w:pPr>
      <w:r>
        <w:t xml:space="preserve">Backups restauráveis dentro do MTD? SE SIM → não pagar.</w:t>
      </w:r>
    </w:p>
    <w:p>
      <w:pPr>
        <w:pStyle w:val="ListParagraph"/>
        <w:numPr>
          <w:ilvl w:val="0"/>
          <w:numId w:val="3"/>
        </w:numPr>
      </w:pPr>
      <w:r>
        <w:t xml:space="preserve">Grupo na lista OFAC ou UE de sanções? SE SIM → NÃO PAGAR (pagar pode ser crime). Validar com Jurídico.</w:t>
      </w:r>
    </w:p>
    <w:p>
      <w:pPr>
        <w:pStyle w:val="ListParagraph"/>
        <w:numPr>
          <w:ilvl w:val="0"/>
          <w:numId w:val="3"/>
        </w:numPr>
      </w:pPr>
      <w:r>
        <w:t xml:space="preserve">Decriptor público disponível? SE SIM → usar, não pagar.</w:t>
      </w:r>
    </w:p>
    <w:p>
      <w:pPr>
        <w:pStyle w:val="ListParagraph"/>
        <w:numPr>
          <w:ilvl w:val="0"/>
          <w:numId w:val="3"/>
        </w:numPr>
      </w:pPr>
      <w:r>
        <w:t xml:space="preserve">Dados pessoais exfiltrados e publicação iminente? Avaliar dano reputacional/regulatório vs. incerteza do pagamento (grupos frequentemente republicam).</w:t>
      </w:r>
    </w:p>
    <w:p>
      <w:pPr>
        <w:pStyle w:val="ListParagraph"/>
        <w:numPr>
          <w:ilvl w:val="0"/>
          <w:numId w:val="3"/>
        </w:numPr>
      </w:pPr>
      <w:r>
        <w:t xml:space="preserve">Custo de paragem prolongada superior ao resgate? Apresentar números à Direção para decisão formal.</w:t>
      </w:r>
    </w:p>
    <w:p>
      <w:pPr>
        <w:pStyle w:val="ListParagraph"/>
        <w:numPr>
          <w:ilvl w:val="0"/>
          <w:numId w:val="3"/>
        </w:numPr>
      </w:pPr>
      <w:r>
        <w:t xml:space="preserve">Independente da decisão de pagamento, continuar recuperação a partir de backups em paralelo.</w:t>
      </w:r>
    </w:p>
    <w:p>
      <w:pPr>
        <w:pStyle w:val="Heading2"/>
      </w:pPr>
      <w:r>
        <w:t xml:space="preserve">5.2 Se a decisão for pagar</w:t>
      </w:r>
    </w:p>
    <w:p>
      <w:pPr>
        <w:pStyle w:val="ListParagraph"/>
        <w:numPr>
          <w:ilvl w:val="0"/>
          <w:numId w:val="2"/>
        </w:numPr>
      </w:pPr>
      <w:r>
        <w:t xml:space="preserve">Validação com seguradora cyber antes do pagamento — algumas apólices exigem autorização prévia;</w:t>
      </w:r>
    </w:p>
    <w:p>
      <w:pPr>
        <w:pStyle w:val="ListParagraph"/>
        <w:numPr>
          <w:ilvl w:val="0"/>
          <w:numId w:val="2"/>
        </w:numPr>
      </w:pPr>
      <w:r>
        <w:t xml:space="preserve">Registo formal da decisão em ata (Direção, Jurídico, CISO);</w:t>
      </w:r>
    </w:p>
    <w:p>
      <w:pPr>
        <w:pStyle w:val="ListParagraph"/>
        <w:numPr>
          <w:ilvl w:val="0"/>
          <w:numId w:val="2"/>
        </w:numPr>
      </w:pPr>
      <w:r>
        <w:t xml:space="preserve">Transação operacionalizada por negociador profissional (fornecedor especializado), nunca por colaborador interno;</w:t>
      </w:r>
    </w:p>
    <w:p>
      <w:pPr>
        <w:pStyle w:val="ListParagraph"/>
        <w:numPr>
          <w:ilvl w:val="0"/>
          <w:numId w:val="2"/>
        </w:numPr>
      </w:pPr>
      <w:r>
        <w:t xml:space="preserve">Exigir prova-de-vida antes do pagamento: decifrar um ficheiro de teste fornecido pela vítima;</w:t>
      </w:r>
    </w:p>
    <w:p>
      <w:pPr>
        <w:pStyle w:val="ListParagraph"/>
        <w:numPr>
          <w:ilvl w:val="0"/>
          <w:numId w:val="2"/>
        </w:numPr>
      </w:pPr>
      <w:r>
        <w:t xml:space="preserve">Assumir que pagar não garante chave funcional, rapidez, nem ausência de republicação.</w:t>
      </w:r>
    </w:p>
    <w:p>
      <w:pPr>
        <w:pStyle w:val="Heading1"/>
      </w:pPr>
      <w:r>
        <w:t xml:space="preserve">6. Fase 5 — Erradicação e recuperação</w:t>
      </w:r>
    </w:p>
    <w:p>
      <w:pPr>
        <w:pStyle w:val="Heading2"/>
      </w:pPr>
      <w:r>
        <w:t xml:space="preserve">6.1 Erradicação</w:t>
      </w:r>
    </w:p>
    <w:p>
      <w:pPr>
        <w:pStyle w:val="ListParagraph"/>
        <w:numPr>
          <w:ilvl w:val="0"/>
          <w:numId w:val="3"/>
        </w:numPr>
      </w:pPr>
      <w:r>
        <w:t xml:space="preserve">Identificar vetor inicial (phishing, RDP exposto, vulnerabilidade, supply chain) e fechar.</w:t>
      </w:r>
    </w:p>
    <w:p>
      <w:pPr>
        <w:pStyle w:val="ListParagraph"/>
        <w:numPr>
          <w:ilvl w:val="0"/>
          <w:numId w:val="3"/>
        </w:numPr>
      </w:pPr>
      <w:r>
        <w:t xml:space="preserve">Rotação obrigatória de todas as credenciais em risco: contas privilegiadas, contas de serviço, KRBTGT (duas vezes, com intervalo), chaves de API.</w:t>
      </w:r>
    </w:p>
    <w:p>
      <w:pPr>
        <w:pStyle w:val="ListParagraph"/>
        <w:numPr>
          <w:ilvl w:val="0"/>
          <w:numId w:val="3"/>
        </w:numPr>
      </w:pPr>
      <w:r>
        <w:t xml:space="preserve">Validar ausência de persistence (scheduled tasks, services, run keys, WMI subscriptions, GPOs alteradas).</w:t>
      </w:r>
    </w:p>
    <w:p>
      <w:pPr>
        <w:pStyle w:val="ListParagraph"/>
        <w:numPr>
          <w:ilvl w:val="0"/>
          <w:numId w:val="3"/>
        </w:numPr>
      </w:pPr>
      <w:r>
        <w:t xml:space="preserve">Patching de todas as vulnerabilidades exploradas.</w:t>
      </w:r>
    </w:p>
    <w:p>
      <w:pPr>
        <w:pStyle w:val="Heading2"/>
      </w:pPr>
      <w:r>
        <w:t xml:space="preserve">6.2 Recuperação faseada</w:t>
      </w:r>
    </w:p>
    <w:p>
      <w:pPr>
        <w:pStyle w:val="ListParagraph"/>
        <w:numPr>
          <w:ilvl w:val="0"/>
          <w:numId w:val="3"/>
        </w:numPr>
      </w:pPr>
      <w:r>
        <w:t xml:space="preserve">Reconstruir tier 0 (AD, PKI, Backup) em ambiente limpo (forest recovery se necessário).</w:t>
      </w:r>
    </w:p>
    <w:p>
      <w:pPr>
        <w:pStyle w:val="ListParagraph"/>
        <w:numPr>
          <w:ilvl w:val="0"/>
          <w:numId w:val="3"/>
        </w:numPr>
      </w:pPr>
      <w:r>
        <w:t xml:space="preserve">Restaurar serviços por ordem de criticidade definida na BIA.</w:t>
      </w:r>
    </w:p>
    <w:p>
      <w:pPr>
        <w:pStyle w:val="ListParagraph"/>
        <w:numPr>
          <w:ilvl w:val="0"/>
          <w:numId w:val="3"/>
        </w:numPr>
      </w:pPr>
      <w:r>
        <w:t xml:space="preserve">Validar integridade pós-restauro (hash, testes funcionais).</w:t>
      </w:r>
    </w:p>
    <w:p>
      <w:pPr>
        <w:pStyle w:val="ListParagraph"/>
        <w:numPr>
          <w:ilvl w:val="0"/>
          <w:numId w:val="3"/>
        </w:numPr>
      </w:pPr>
      <w:r>
        <w:t xml:space="preserve">Monitorização reforçada por ≥ 30 dias (threat hunting ativo).</w:t>
      </w:r>
    </w:p>
    <w:p>
      <w:pPr>
        <w:pStyle w:val="Heading2"/>
      </w:pPr>
      <w:r>
        <w:t xml:space="preserve">6.3 Reentrada em produção</w:t>
      </w:r>
    </w:p>
    <w:p>
      <w:pPr>
        <w:pStyle w:val="ListParagraph"/>
        <w:numPr>
          <w:ilvl w:val="0"/>
          <w:numId w:val="2"/>
        </w:numPr>
      </w:pPr>
      <w:r>
        <w:t xml:space="preserve">Critério «clean before green»: não se restaura nada que não tenha passado por análise forense/AV/EDR atualizado;</w:t>
      </w:r>
    </w:p>
    <w:p>
      <w:pPr>
        <w:pStyle w:val="ListParagraph"/>
        <w:numPr>
          <w:ilvl w:val="0"/>
          <w:numId w:val="2"/>
        </w:numPr>
      </w:pPr>
      <w:r>
        <w:t xml:space="preserve">Nenhum dispositivo/conta regressa a tier 0 sem reset completo;</w:t>
      </w:r>
    </w:p>
    <w:p>
      <w:pPr>
        <w:pStyle w:val="ListParagraph"/>
        <w:numPr>
          <w:ilvl w:val="0"/>
          <w:numId w:val="2"/>
        </w:numPr>
      </w:pPr>
      <w:r>
        <w:t xml:space="preserve">Comunicação clara aos utilizadores sobre quando e como podem voltar a usar os sistemas.</w:t>
      </w:r>
    </w:p>
    <w:p>
      <w:pPr>
        <w:pStyle w:val="Heading1"/>
      </w:pPr>
      <w:r>
        <w:t xml:space="preserve">7. Notificações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26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Destinatário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Quando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Base legal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CNCS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24h após conhecimento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DL 125/2025 art. 42.º (se organização NIS2)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CNPD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72h, se dados pessoais potencialmente afetados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RGPD art. 33.º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Titulares dos dados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Sem demora, se elevado risco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RGPD art. 34.º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PJ — UNC3T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Quando se confirme natureza criminal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DL 125/2025 art. 23.º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Seguradora cyber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Imediato (notificação de sinistro)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Condições da apólice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Clientes / parceiros B2B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Quando serviços contratualizados sejam afetados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SLA / contratos</w:t>
            </w:r>
          </w:p>
        </w:tc>
      </w:tr>
    </w:tbl>
    <w:p>
      <w:pPr>
        <w:pStyle w:val="Heading1"/>
      </w:pPr>
      <w:r>
        <w:t xml:space="preserve">8. Fase 6 — Atividade pós-incidente</w:t>
      </w:r>
    </w:p>
    <w:p>
      <w:pPr>
        <w:pStyle w:val="ListParagraph"/>
        <w:numPr>
          <w:ilvl w:val="0"/>
          <w:numId w:val="3"/>
        </w:numPr>
      </w:pPr>
      <w:r>
        <w:t xml:space="preserve">Relatório de pós-incidente (PIR) em 30 dias — usar template dedicado.</w:t>
      </w:r>
    </w:p>
    <w:p>
      <w:pPr>
        <w:pStyle w:val="ListParagraph"/>
        <w:numPr>
          <w:ilvl w:val="0"/>
          <w:numId w:val="3"/>
        </w:numPr>
      </w:pPr>
      <w:r>
        <w:t xml:space="preserve">Análise de root cause (5 porquês) e documentação das técnicas ATT&amp;CK observadas.</w:t>
      </w:r>
    </w:p>
    <w:p>
      <w:pPr>
        <w:pStyle w:val="ListParagraph"/>
        <w:numPr>
          <w:ilvl w:val="0"/>
          <w:numId w:val="3"/>
        </w:numPr>
      </w:pPr>
      <w:r>
        <w:t xml:space="preserve">Atualização deste playbook com lições aprendidas.</w:t>
      </w:r>
    </w:p>
    <w:p>
      <w:pPr>
        <w:pStyle w:val="ListParagraph"/>
        <w:numPr>
          <w:ilvl w:val="0"/>
          <w:numId w:val="3"/>
        </w:numPr>
      </w:pPr>
      <w:r>
        <w:t xml:space="preserve">Revisão de controlos: MFA em VPN/RDP, EDR coverage, backups imutáveis, segmentação, patching, privileged access.</w:t>
      </w:r>
    </w:p>
    <w:p>
      <w:pPr>
        <w:pStyle w:val="ListParagraph"/>
        <w:numPr>
          <w:ilvl w:val="0"/>
          <w:numId w:val="3"/>
        </w:numPr>
      </w:pPr>
      <w:r>
        <w:t xml:space="preserve">Exercício de simulação com cenário derivado nos 90 dias seguintes.</w:t>
      </w:r>
    </w:p>
    <w:p>
      <w:pPr>
        <w:pStyle w:val="Heading1"/>
      </w:pPr>
      <w:r>
        <w:t xml:space="preserve">9. Checklist rápida (imprimir e afixar no war room)</w:t>
      </w:r>
    </w:p>
    <w:p>
      <w:pPr>
        <w:pStyle w:val="ListParagraph"/>
        <w:numPr>
          <w:ilvl w:val="0"/>
          <w:numId w:val="3"/>
        </w:numPr>
      </w:pPr>
      <w:r>
        <w:t xml:space="preserve">[ ] Ticket P1 aberto e war room ativo.</w:t>
      </w:r>
    </w:p>
    <w:p>
      <w:pPr>
        <w:pStyle w:val="ListParagraph"/>
        <w:numPr>
          <w:ilvl w:val="0"/>
          <w:numId w:val="3"/>
        </w:numPr>
      </w:pPr>
      <w:r>
        <w:t xml:space="preserve">[ ] CISO + Direção + DPO + Jurídico notificados.</w:t>
      </w:r>
    </w:p>
    <w:p>
      <w:pPr>
        <w:pStyle w:val="ListParagraph"/>
        <w:numPr>
          <w:ilvl w:val="0"/>
          <w:numId w:val="3"/>
        </w:numPr>
      </w:pPr>
      <w:r>
        <w:t xml:space="preserve">[ ] Hosts afetados isolados, SEM desligar.</w:t>
      </w:r>
    </w:p>
    <w:p>
      <w:pPr>
        <w:pStyle w:val="ListParagraph"/>
        <w:numPr>
          <w:ilvl w:val="0"/>
          <w:numId w:val="3"/>
        </w:numPr>
      </w:pPr>
      <w:r>
        <w:t xml:space="preserve">[ ] Dump de memória + imagem forense preservados (cadeia de custódia).</w:t>
      </w:r>
    </w:p>
    <w:p>
      <w:pPr>
        <w:pStyle w:val="ListParagraph"/>
        <w:numPr>
          <w:ilvl w:val="0"/>
          <w:numId w:val="3"/>
        </w:numPr>
      </w:pPr>
      <w:r>
        <w:t xml:space="preserve">[ ] Backups protegidos e validados (offline/imutáveis testados).</w:t>
      </w:r>
    </w:p>
    <w:p>
      <w:pPr>
        <w:pStyle w:val="ListParagraph"/>
        <w:numPr>
          <w:ilvl w:val="0"/>
          <w:numId w:val="3"/>
        </w:numPr>
      </w:pPr>
      <w:r>
        <w:t xml:space="preserve">[ ] Amostra submetida a ID Ransomware e NoMoreRansom.</w:t>
      </w:r>
    </w:p>
    <w:p>
      <w:pPr>
        <w:pStyle w:val="ListParagraph"/>
        <w:numPr>
          <w:ilvl w:val="0"/>
          <w:numId w:val="3"/>
        </w:numPr>
      </w:pPr>
      <w:r>
        <w:t xml:space="preserve">[ ] Grupo/variante identificado; técnicas ATT&amp;CK mapeadas.</w:t>
      </w:r>
    </w:p>
    <w:p>
      <w:pPr>
        <w:pStyle w:val="ListParagraph"/>
        <w:numPr>
          <w:ilvl w:val="0"/>
          <w:numId w:val="3"/>
        </w:numPr>
      </w:pPr>
      <w:r>
        <w:t xml:space="preserve">[ ] Risco regulatório avaliado (NIS2, RGPD).</w:t>
      </w:r>
    </w:p>
    <w:p>
      <w:pPr>
        <w:pStyle w:val="ListParagraph"/>
        <w:numPr>
          <w:ilvl w:val="0"/>
          <w:numId w:val="3"/>
        </w:numPr>
      </w:pPr>
      <w:r>
        <w:t xml:space="preserve">[ ] Seguradora cyber notificada.</w:t>
      </w:r>
    </w:p>
    <w:p>
      <w:pPr>
        <w:pStyle w:val="ListParagraph"/>
        <w:numPr>
          <w:ilvl w:val="0"/>
          <w:numId w:val="3"/>
        </w:numPr>
      </w:pPr>
      <w:r>
        <w:t xml:space="preserve">[ ] Decisão de pagamento formalizada (qualquer que seja).</w:t>
      </w:r>
    </w:p>
    <w:p>
      <w:pPr>
        <w:pStyle w:val="ListParagraph"/>
        <w:numPr>
          <w:ilvl w:val="0"/>
          <w:numId w:val="3"/>
        </w:numPr>
      </w:pPr>
      <w:r>
        <w:t xml:space="preserve">[ ] Plano de recuperação definido por criticidade.</w:t>
      </w:r>
    </w:p>
    <w:p>
      <w:pPr>
        <w:pStyle w:val="ListParagraph"/>
        <w:numPr>
          <w:ilvl w:val="0"/>
          <w:numId w:val="3"/>
        </w:numPr>
      </w:pPr>
      <w:r>
        <w:t xml:space="preserve">[ ] Comunicação interna e externa alinhada com o Plano de Comunicação de Crise.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66666"/>
        <w:sz w:val="18"/>
        <w:szCs w:val="18"/>
      </w:rPr>
      <w:t xml:space="preserve">Classificação: Confidencial</w:t>
    </w:r>
    <w:r>
      <w:rPr>
        <w:color w:val="666666"/>
        <w:sz w:val="18"/>
        <w:szCs w:val="18"/>
      </w:rPr>
      <w:t xml:space="preserve">	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color w:val="666666"/>
        <w:sz w:val="18"/>
        <w:szCs w:val="18"/>
      </w:rPr>
      <w:t xml:space="preserve">[Nome da organização] — Playbook — Ransomware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2026-04-23T09:29:52.994Z</dcterms:created>
  <dcterms:modified xsi:type="dcterms:W3CDTF">2026-04-23T09:29:52.994Z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