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200"/>
        <w:jc w:val="center"/>
      </w:pPr>
      <w:r>
        <w:rPr>
          <w:i/>
          <w:iCs/>
          <w:color w:val="666666"/>
          <w:sz w:val="28"/>
          <w:szCs w:val="28"/>
        </w:rPr>
        <w:t xml:space="preserve">[Nome da organização]</w:t>
      </w:r>
    </w:p>
    <w:p>
      <w:pPr>
        <w:spacing w:after="400"/>
        <w:jc w:val="center"/>
      </w:pPr>
      <w:r>
        <w:rPr>
          <w:b/>
          <w:bCs/>
          <w:color w:val="2E75B6"/>
          <w:sz w:val="44"/>
          <w:szCs w:val="44"/>
        </w:rPr>
        <w:t xml:space="preserve">Política de Gestão de Incidentes de Cibersegurança</w:t>
      </w:r>
    </w:p>
    <w:p>
      <w:pPr>
        <w:spacing w:after="800"/>
        <w:jc w:val="center"/>
      </w:pPr>
      <w:r>
        <w:rPr>
          <w:i/>
          <w:iCs/>
          <w:color w:val="333333"/>
          <w:sz w:val="24"/>
          <w:szCs w:val="24"/>
        </w:rPr>
        <w:t xml:space="preserve">Alinhada com ISO/IEC 27035, NIST SP 800-61r2 e DL 125/2025 (NIS2 PT)</w:t>
      </w:r>
    </w:p>
    <w:p>
      <w:pPr>
        <w:spacing w:after="100"/>
        <w:jc w:val="center"/>
      </w:pPr>
      <w:r>
        <w:rPr>
          <w:sz w:val="22"/>
          <w:szCs w:val="22"/>
        </w:rPr>
        <w:t xml:space="preserve">Versão: 1.0</w:t>
      </w:r>
    </w:p>
    <w:p>
      <w:pPr>
        <w:spacing w:after="100"/>
        <w:jc w:val="center"/>
      </w:pPr>
      <w:r>
        <w:rPr>
          <w:sz w:val="22"/>
          <w:szCs w:val="22"/>
        </w:rPr>
        <w:t xml:space="preserve">Data: abril de 2026</w:t>
      </w:r>
    </w:p>
    <w:p>
      <w:pPr>
        <w:spacing w:after="600"/>
        <w:jc w:val="center"/>
      </w:pPr>
      <w:r>
        <w:rPr>
          <w:sz w:val="22"/>
          <w:szCs w:val="22"/>
        </w:rPr>
        <w:t xml:space="preserve">Classificação: Confidencial</w:t>
      </w:r>
    </w:p>
    <w:p>
      <w:r>
        <w:br w:type="page"/>
      </w:r>
    </w:p>
    <w:p>
      <w:pPr>
        <w:pStyle w:val="Heading2"/>
      </w:pPr>
      <w:r>
        <w:t xml:space="preserve">Controlo de versões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000"/>
        <w:gridCol w:w="3000"/>
        <w:gridCol w:w="1426"/>
      </w:tblGrid>
      <w:tr>
        <w:trPr>
          <w:tblHeader/>
        </w:trPr>
        <w:tc>
          <w:tcPr>
            <w:tcW w:type="dxa" w:w="12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Versão</w:t>
            </w:r>
          </w:p>
        </w:tc>
        <w:tc>
          <w:tcPr>
            <w:tcW w:type="dxa" w:w="14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Data</w:t>
            </w:r>
          </w:p>
        </w:tc>
        <w:tc>
          <w:tcPr>
            <w:tcW w:type="dxa" w:w="20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Autor</w:t>
            </w:r>
          </w:p>
        </w:tc>
        <w:tc>
          <w:tcPr>
            <w:tcW w:type="dxa" w:w="30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Alterações</w:t>
            </w:r>
          </w:p>
        </w:tc>
        <w:tc>
          <w:tcPr>
            <w:tcW w:type="dxa" w:w="1426"/>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Aprovado por</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1.0</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abril de 2026</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[Autor]</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Versão inicial</w:t>
            </w:r>
          </w:p>
        </w:tc>
        <w:tc>
          <w:tcPr>
            <w:tcW w:type="dxa" w:w="14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[Aprovador]</w:t>
            </w:r>
          </w:p>
        </w:tc>
      </w:tr>
    </w:tbl>
    <w:p>
      <w:pPr>
        <w:spacing w:after="300"/>
      </w:pPr>
      <w:r>
        <w:t xml:space="preserve"/>
      </w:r>
    </w:p>
    <w:p>
      <w:pPr>
        <w:pStyle w:val="Heading1"/>
      </w:pPr>
      <w:r>
        <w:t xml:space="preserve">1. Objetivo</w:t>
      </w:r>
    </w:p>
    <w:p>
      <w:pPr>
        <w:spacing w:after="120"/>
      </w:pPr>
      <w:r>
        <w:t xml:space="preserve">Esta política estabelece o compromisso de [Nome da organização] com a gestão sistemática de incidentes de cibersegurança, definindo princípios, responsabilidades e requisitos mínimos de processo. O objetivo é minimizar o impacto de incidentes nos serviços prestados, nos dados tratados e na reputação da organização, assegurando o cumprimento das obrigações legais aplicáveis.</w:t>
      </w:r>
    </w:p>
    <w:p>
      <w:pPr>
        <w:pStyle w:val="Heading1"/>
      </w:pPr>
      <w:r>
        <w:t xml:space="preserve">2. Âmbito</w:t>
      </w:r>
    </w:p>
    <w:p>
      <w:pPr>
        <w:spacing w:after="120"/>
      </w:pPr>
      <w:r>
        <w:t xml:space="preserve">A presente política aplica-se a:</w:t>
      </w:r>
    </w:p>
    <w:p>
      <w:pPr>
        <w:pStyle w:val="ListParagraph"/>
        <w:numPr>
          <w:ilvl w:val="0"/>
          <w:numId w:val="2"/>
        </w:numPr>
      </w:pPr>
      <w:r>
        <w:t xml:space="preserve">Todos os sistemas de informação, redes, serviços e dados sob responsabilidade de [Nome da organização], incluindo ambientes on-premise, cloud e híbridos;</w:t>
      </w:r>
    </w:p>
    <w:p>
      <w:pPr>
        <w:pStyle w:val="ListParagraph"/>
        <w:numPr>
          <w:ilvl w:val="0"/>
          <w:numId w:val="2"/>
        </w:numPr>
      </w:pPr>
      <w:r>
        <w:t xml:space="preserve">Todos os colaboradores, prestadores de serviços, estagiários e terceiros com acesso autorizado aos sistemas;</w:t>
      </w:r>
    </w:p>
    <w:p>
      <w:pPr>
        <w:pStyle w:val="ListParagraph"/>
        <w:numPr>
          <w:ilvl w:val="0"/>
          <w:numId w:val="2"/>
        </w:numPr>
      </w:pPr>
      <w:r>
        <w:t xml:space="preserve">Incidentes que afetem a confidencialidade, integridade ou disponibilidade da informação, bem como potenciais violações de dados pessoais sob o RGPD.</w:t>
      </w:r>
    </w:p>
    <w:p>
      <w:pPr>
        <w:pStyle w:val="Heading1"/>
      </w:pPr>
      <w:r>
        <w:t xml:space="preserve">3. Enquadramento legal e normativo</w:t>
      </w:r>
    </w:p>
    <w:p>
      <w:pPr>
        <w:spacing w:after="120"/>
      </w:pPr>
      <w:r>
        <w:t xml:space="preserve">Esta política dá cumprimento e referencia, entre outros:</w:t>
      </w:r>
    </w:p>
    <w:p>
      <w:pPr>
        <w:pStyle w:val="ListParagraph"/>
        <w:numPr>
          <w:ilvl w:val="0"/>
          <w:numId w:val="2"/>
        </w:numPr>
      </w:pPr>
      <w:r>
        <w:t xml:space="preserve">Decreto-Lei n.º 125/2025 (transposição NIS2) — artigos 27.º (medidas técnicas e organizativas), 40.º-44.º (notificação de incidentes significativos), 48.º (divulgação pública);</w:t>
      </w:r>
    </w:p>
    <w:p>
      <w:pPr>
        <w:pStyle w:val="ListParagraph"/>
        <w:numPr>
          <w:ilvl w:val="0"/>
          <w:numId w:val="2"/>
        </w:numPr>
      </w:pPr>
      <w:r>
        <w:t xml:space="preserve">Regulamento (UE) 2016/679 (RGPD) — artigos 32.º (segurança), 33.º (notificação à autoridade de controlo), 34.º (comunicação aos titulares);</w:t>
      </w:r>
    </w:p>
    <w:p>
      <w:pPr>
        <w:pStyle w:val="ListParagraph"/>
        <w:numPr>
          <w:ilvl w:val="0"/>
          <w:numId w:val="2"/>
        </w:numPr>
      </w:pPr>
      <w:r>
        <w:t xml:space="preserve">ISO/IEC 27035 — gestão de incidentes de segurança da informação;</w:t>
      </w:r>
    </w:p>
    <w:p>
      <w:pPr>
        <w:pStyle w:val="ListParagraph"/>
        <w:numPr>
          <w:ilvl w:val="0"/>
          <w:numId w:val="2"/>
        </w:numPr>
      </w:pPr>
      <w:r>
        <w:t xml:space="preserve">ISO/IEC 27001 — Anexo A, controlos A.5.24 a A.5.28;</w:t>
      </w:r>
    </w:p>
    <w:p>
      <w:pPr>
        <w:pStyle w:val="ListParagraph"/>
        <w:numPr>
          <w:ilvl w:val="0"/>
          <w:numId w:val="2"/>
        </w:numPr>
      </w:pPr>
      <w:r>
        <w:t xml:space="preserve">NIST SP 800-61 Revision 2 — Computer Security Incident Handling Guide;</w:t>
      </w:r>
    </w:p>
    <w:p>
      <w:pPr>
        <w:pStyle w:val="ListParagraph"/>
        <w:numPr>
          <w:ilvl w:val="0"/>
          <w:numId w:val="2"/>
        </w:numPr>
      </w:pPr>
      <w:r>
        <w:t xml:space="preserve">MITRE ATT&amp;CK — referencial técnico para classificação de comportamento adversário.</w:t>
      </w:r>
    </w:p>
    <w:p>
      <w:pPr>
        <w:pStyle w:val="Heading1"/>
      </w:pPr>
      <w:r>
        <w:t xml:space="preserve">4. Princípios</w:t>
      </w:r>
    </w:p>
    <w:p>
      <w:pPr>
        <w:spacing w:after="120"/>
      </w:pPr>
      <w:r>
        <w:t xml:space="preserve">A gestão de incidentes em [Nome da organização] rege-se pelos seguintes princípios:</w:t>
      </w:r>
    </w:p>
    <w:p>
      <w:pPr>
        <w:pStyle w:val="ListParagraph"/>
        <w:numPr>
          <w:ilvl w:val="0"/>
          <w:numId w:val="2"/>
        </w:numPr>
      </w:pPr>
      <w:r/>
    </w:p>
    <w:p>
      <w:pPr>
        <w:pStyle w:val="ListParagraph"/>
        <w:numPr>
          <w:ilvl w:val="0"/>
          <w:numId w:val="2"/>
        </w:numPr>
      </w:pPr>
      <w:r/>
    </w:p>
    <w:p>
      <w:pPr>
        <w:pStyle w:val="ListParagraph"/>
        <w:numPr>
          <w:ilvl w:val="0"/>
          <w:numId w:val="2"/>
        </w:numPr>
      </w:pPr>
      <w:r/>
    </w:p>
    <w:p>
      <w:pPr>
        <w:pStyle w:val="ListParagraph"/>
        <w:numPr>
          <w:ilvl w:val="0"/>
          <w:numId w:val="2"/>
        </w:numPr>
      </w:pPr>
      <w:r/>
    </w:p>
    <w:p>
      <w:pPr>
        <w:pStyle w:val="ListParagraph"/>
        <w:numPr>
          <w:ilvl w:val="0"/>
          <w:numId w:val="2"/>
        </w:numPr>
      </w:pPr>
      <w:r/>
    </w:p>
    <w:p>
      <w:pPr>
        <w:pStyle w:val="ListParagraph"/>
        <w:numPr>
          <w:ilvl w:val="0"/>
          <w:numId w:val="2"/>
        </w:numPr>
      </w:pPr>
      <w:r/>
    </w:p>
    <w:p>
      <w:pPr>
        <w:pStyle w:val="Heading1"/>
      </w:pPr>
      <w:r>
        <w:t xml:space="preserve">5. Papéis e responsabilidades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Papel</w:t>
            </w:r>
          </w:p>
        </w:tc>
        <w:tc>
          <w:tcPr>
            <w:tcW w:type="dxa" w:w="6226"/>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Responsabilidade principal</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Conselho de administração / Direção</w:t>
            </w:r>
          </w:p>
        </w:tc>
        <w:tc>
          <w:tcPr>
            <w:tcW w:type="dxa" w:w="62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Aprovar a política, alocar recursos, decidir sobre crises de alto impacto e comunicações externas.</w:t>
            </w:r>
          </w:p>
        </w:tc>
      </w:tr>
      <w:tr>
        <w:tc>
          <w:tcPr>
            <w:tcW w:type="dxa" w:w="28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CISO / Responsável pela Segurança da Informação</w:t>
            </w:r>
          </w:p>
        </w:tc>
        <w:tc>
          <w:tcPr>
            <w:tcW w:type="dxa" w:w="62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Garantir implementação, coordenar o CSIRT, reportar ao órgão de gestão.</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CSIRT / Equipa de Resposta a Incidentes</w:t>
            </w:r>
          </w:p>
        </w:tc>
        <w:tc>
          <w:tcPr>
            <w:tcW w:type="dxa" w:w="62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Executar deteção, triagem, contenção, investigação, erradicação, recuperação e follow-up.</w:t>
            </w:r>
          </w:p>
        </w:tc>
      </w:tr>
      <w:tr>
        <w:tc>
          <w:tcPr>
            <w:tcW w:type="dxa" w:w="28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DPO / Encarregado da Proteção de Dados</w:t>
            </w:r>
          </w:p>
        </w:tc>
        <w:tc>
          <w:tcPr>
            <w:tcW w:type="dxa" w:w="62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Avaliar incidentes com impacto em dados pessoais, articular com CNPD.</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Responsáveis de sistema / Process owners</w:t>
            </w:r>
          </w:p>
        </w:tc>
        <w:tc>
          <w:tcPr>
            <w:tcW w:type="dxa" w:w="62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Suporte operacional ao CSIRT; decisões de paragem e restauro de serviços sob sua responsabilidade.</w:t>
            </w:r>
          </w:p>
        </w:tc>
      </w:tr>
      <w:tr>
        <w:tc>
          <w:tcPr>
            <w:tcW w:type="dxa" w:w="28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Gestão de Comunicação</w:t>
            </w:r>
          </w:p>
        </w:tc>
        <w:tc>
          <w:tcPr>
            <w:tcW w:type="dxa" w:w="62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Executar o plano de comunicação de crise aprovado.</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Departamento Jurídico</w:t>
            </w:r>
          </w:p>
        </w:tc>
        <w:tc>
          <w:tcPr>
            <w:tcW w:type="dxa" w:w="62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Avaliar obrigações legais, preservar evidência para eventual processo, gerir relação com autoridades.</w:t>
            </w:r>
          </w:p>
        </w:tc>
      </w:tr>
      <w:tr>
        <w:tc>
          <w:tcPr>
            <w:tcW w:type="dxa" w:w="28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Todos os colaboradores</w:t>
            </w:r>
          </w:p>
        </w:tc>
        <w:tc>
          <w:tcPr>
            <w:tcW w:type="dxa" w:w="62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Reportar prontamente eventos suspeitos ao canal oficial; não tentar investigar ou remediar por iniciativa própria.</w:t>
            </w:r>
          </w:p>
        </w:tc>
      </w:tr>
    </w:tbl>
    <w:p>
      <w:pPr>
        <w:pStyle w:val="Heading1"/>
      </w:pPr>
      <w:r>
        <w:t xml:space="preserve">6. Ciclo de gestão de incidentes</w:t>
      </w:r>
    </w:p>
    <w:p>
      <w:pPr>
        <w:spacing w:after="120"/>
      </w:pPr>
      <w:r>
        <w:t xml:space="preserve">O ciclo adotado segue NIST SP 800-61r2, compatível com o modelo SANS (PICERL):</w:t>
      </w:r>
    </w:p>
    <w:p>
      <w:pPr>
        <w:pStyle w:val="ListParagraph"/>
        <w:numPr>
          <w:ilvl w:val="0"/>
          <w:numId w:val="3"/>
        </w:numPr>
      </w:pPr>
      <w:r>
        <w:t xml:space="preserve">Preparação — políticas, playbooks, ferramentas, formação, exercícios.</w:t>
      </w:r>
    </w:p>
    <w:p>
      <w:pPr>
        <w:pStyle w:val="ListParagraph"/>
        <w:numPr>
          <w:ilvl w:val="0"/>
          <w:numId w:val="3"/>
        </w:numPr>
      </w:pPr>
      <w:r>
        <w:t xml:space="preserve">Deteção e análise — identificação, triagem, classificação, análise inicial.</w:t>
      </w:r>
    </w:p>
    <w:p>
      <w:pPr>
        <w:pStyle w:val="ListParagraph"/>
        <w:numPr>
          <w:ilvl w:val="0"/>
          <w:numId w:val="3"/>
        </w:numPr>
      </w:pPr>
      <w:r>
        <w:t xml:space="preserve">Contenção, erradicação e recuperação — limitar impacto, remover causa, restaurar operações.</w:t>
      </w:r>
    </w:p>
    <w:p>
      <w:pPr>
        <w:pStyle w:val="ListParagraph"/>
        <w:numPr>
          <w:ilvl w:val="0"/>
          <w:numId w:val="3"/>
        </w:numPr>
      </w:pPr>
      <w:r>
        <w:t xml:space="preserve">Atividade pós-incidente — lições aprendidas (PIR), atualização de controlos e playbooks.</w:t>
      </w:r>
    </w:p>
    <w:p>
      <w:pPr>
        <w:pStyle w:val="Heading1"/>
      </w:pPr>
      <w:r>
        <w:t xml:space="preserve">7. Classificação e severidade</w:t>
      </w:r>
    </w:p>
    <w:p>
      <w:pPr>
        <w:spacing w:after="120"/>
      </w:pPr>
      <w:r>
        <w:t xml:space="preserve">Todos os incidentes são classificados em cinco níveis de severidade (P1 a P5) de acordo com o procedimento específico de classificação. A severidade determina prazo de resposta, equipa mobilizada e necessidade de escalonamento para a direção. Consultar o documento «Procedimento de Classificação e Severidade de Incidentes».</w:t>
      </w:r>
    </w:p>
    <w:p>
      <w:pPr>
        <w:pStyle w:val="Heading1"/>
      </w:pPr>
      <w:r>
        <w:t xml:space="preserve">8. Notificação e comunicação</w:t>
      </w:r>
    </w:p>
    <w:p>
      <w:pPr>
        <w:spacing w:after="120"/>
      </w:pPr>
      <w:r>
        <w:t xml:space="preserve">As obrigações mínimas de notificação em [Nome da organização] são: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Destinatário</w:t>
            </w:r>
          </w:p>
        </w:tc>
        <w:tc>
          <w:tcPr>
            <w:tcW w:type="dxa" w:w="32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Quando</w:t>
            </w:r>
          </w:p>
        </w:tc>
        <w:tc>
          <w:tcPr>
            <w:tcW w:type="dxa" w:w="3426"/>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Prazo</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CNCS — Centro Nacional de Cibersegurança</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Incidente significativo NIS2 (DL 125/2025 art. 40.º)</w:t>
            </w:r>
          </w:p>
        </w:tc>
        <w:tc>
          <w:tcPr>
            <w:tcW w:type="dxa" w:w="34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24h para notificação inicial; 72h para atualização; 30 dias úteis para relatório final</w:t>
            </w:r>
          </w:p>
        </w:tc>
      </w:tr>
      <w:tr>
        <w:tc>
          <w:tcPr>
            <w:tcW w:type="dxa" w:w="24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CNPD — Comissão Nacional de Proteção de Dados</w:t>
            </w:r>
          </w:p>
        </w:tc>
        <w:tc>
          <w:tcPr>
            <w:tcW w:type="dxa" w:w="32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Violação de dados pessoais com risco para os titulares (RGPD art. 33.º)</w:t>
            </w:r>
          </w:p>
        </w:tc>
        <w:tc>
          <w:tcPr>
            <w:tcW w:type="dxa" w:w="34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72 horas após conhecimento</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Titulares dos dados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Violação com elevado risco para direitos e liberdades (RGPD art. 34.º)</w:t>
            </w:r>
          </w:p>
        </w:tc>
        <w:tc>
          <w:tcPr>
            <w:tcW w:type="dxa" w:w="34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Sem demora injustificada</w:t>
            </w:r>
          </w:p>
        </w:tc>
      </w:tr>
      <w:tr>
        <w:tc>
          <w:tcPr>
            <w:tcW w:type="dxa" w:w="24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Órgão de gestão</w:t>
            </w:r>
          </w:p>
        </w:tc>
        <w:tc>
          <w:tcPr>
            <w:tcW w:type="dxa" w:w="3200"/>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Incidentes P1 e P2</w:t>
            </w:r>
          </w:p>
        </w:tc>
        <w:tc>
          <w:tcPr>
            <w:tcW w:type="dxa" w:w="3426"/>
            <w:tcBorders>
              <w:top w:val="single" w:color="BBBBBB" w:sz="1"/>
              <w:left w:val="single" w:color="BBBBBB" w:sz="1"/>
              <w:bottom w:val="single" w:color="BBBBBB" w:sz="1"/>
              <w:right w:val="single" w:color="BBBBBB" w:sz="1"/>
            </w:tcBorders>
            <w:shd w:fill="D5E8F0" w:color="auto" w:val="clear"/>
            <w:tcMar>
              <w:top w:type="dxa" w:w="80"/>
              <w:left w:type="dxa" w:w="120"/>
              <w:bottom w:type="dxa" w:w="80"/>
              <w:right w:type="dxa" w:w="120"/>
            </w:tcMar>
            <w:vAlign w:val="center"/>
          </w:tcPr>
          <w:p>
            <w:r>
              <w:t xml:space="preserve">Imediato (P1) / 4 horas (P2)</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Polícia Judiciária / Ministério Público</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Incidentes com natureza criminal (DL 125/2025 art. 23.º)</w:t>
            </w:r>
          </w:p>
        </w:tc>
        <w:tc>
          <w:tcPr>
            <w:tcW w:type="dxa" w:w="34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Conforme avaliação jurídica</w:t>
            </w:r>
          </w:p>
        </w:tc>
      </w:tr>
    </w:tbl>
    <w:p>
      <w:pPr>
        <w:pStyle w:val="Heading1"/>
      </w:pPr>
      <w:r>
        <w:t xml:space="preserve">9. Formação, exercícios e sensibilização</w:t>
      </w:r>
    </w:p>
    <w:p>
      <w:pPr>
        <w:pStyle w:val="ListParagraph"/>
        <w:numPr>
          <w:ilvl w:val="0"/>
          <w:numId w:val="2"/>
        </w:numPr>
      </w:pPr>
      <w:r>
        <w:t xml:space="preserve">Todos os colaboradores recebem formação obrigatória de sensibilização em reporte de incidentes, no momento do onboarding e anualmente;</w:t>
      </w:r>
    </w:p>
    <w:p>
      <w:pPr>
        <w:pStyle w:val="ListParagraph"/>
        <w:numPr>
          <w:ilvl w:val="0"/>
          <w:numId w:val="2"/>
        </w:numPr>
      </w:pPr>
      <w:r>
        <w:t xml:space="preserve">O CSIRT realiza pelo menos um exercício tipo tabletop por ano e um exercício técnico (red team ou purple team) de 24 em 24 meses;</w:t>
      </w:r>
    </w:p>
    <w:p>
      <w:pPr>
        <w:pStyle w:val="ListParagraph"/>
        <w:numPr>
          <w:ilvl w:val="0"/>
          <w:numId w:val="2"/>
        </w:numPr>
      </w:pPr>
      <w:r>
        <w:t xml:space="preserve">A participação em exercícios de cibersegurança setoriais ou nacionais (CNCS) é incentivada quando aplicável.</w:t>
      </w:r>
    </w:p>
    <w:p>
      <w:pPr>
        <w:pStyle w:val="Heading1"/>
      </w:pPr>
      <w:r>
        <w:t xml:space="preserve">10. Documentos operacionais associados</w:t>
      </w:r>
    </w:p>
    <w:p>
      <w:pPr>
        <w:pStyle w:val="ListParagraph"/>
        <w:numPr>
          <w:ilvl w:val="0"/>
          <w:numId w:val="2"/>
        </w:numPr>
      </w:pPr>
      <w:r>
        <w:t xml:space="preserve">Procedimento de Classificação e Severidade de Incidentes;</w:t>
      </w:r>
    </w:p>
    <w:p>
      <w:pPr>
        <w:pStyle w:val="ListParagraph"/>
        <w:numPr>
          <w:ilvl w:val="0"/>
          <w:numId w:val="2"/>
        </w:numPr>
      </w:pPr>
      <w:r>
        <w:t xml:space="preserve">Procedimento de Escalonamento e Matriz RACI do CSIRT;</w:t>
      </w:r>
    </w:p>
    <w:p>
      <w:pPr>
        <w:pStyle w:val="ListParagraph"/>
        <w:numPr>
          <w:ilvl w:val="0"/>
          <w:numId w:val="2"/>
        </w:numPr>
      </w:pPr>
      <w:r>
        <w:t xml:space="preserve">Playbook — Ransomware;</w:t>
      </w:r>
    </w:p>
    <w:p>
      <w:pPr>
        <w:pStyle w:val="ListParagraph"/>
        <w:numPr>
          <w:ilvl w:val="0"/>
          <w:numId w:val="2"/>
        </w:numPr>
      </w:pPr>
      <w:r>
        <w:t xml:space="preserve">Playbook — Phishing / Comprometimento de Credenciais;</w:t>
      </w:r>
    </w:p>
    <w:p>
      <w:pPr>
        <w:pStyle w:val="ListParagraph"/>
        <w:numPr>
          <w:ilvl w:val="0"/>
          <w:numId w:val="2"/>
        </w:numPr>
      </w:pPr>
      <w:r>
        <w:t xml:space="preserve">Playbook — Violação de Dados Pessoais;</w:t>
      </w:r>
    </w:p>
    <w:p>
      <w:pPr>
        <w:pStyle w:val="ListParagraph"/>
        <w:numPr>
          <w:ilvl w:val="0"/>
          <w:numId w:val="2"/>
        </w:numPr>
      </w:pPr>
      <w:r>
        <w:t xml:space="preserve">Plano de Comunicação de Crise;</w:t>
      </w:r>
    </w:p>
    <w:p>
      <w:pPr>
        <w:pStyle w:val="ListParagraph"/>
        <w:numPr>
          <w:ilvl w:val="0"/>
          <w:numId w:val="2"/>
        </w:numPr>
      </w:pPr>
      <w:r>
        <w:t xml:space="preserve">Relatório de Pós-Incidente (PIR) — template;</w:t>
      </w:r>
    </w:p>
    <w:p>
      <w:pPr>
        <w:pStyle w:val="ListParagraph"/>
        <w:numPr>
          <w:ilvl w:val="0"/>
          <w:numId w:val="2"/>
        </w:numPr>
      </w:pPr>
      <w:r>
        <w:t xml:space="preserve">Plano de Resposta a Incidentes (NIS2);</w:t>
      </w:r>
    </w:p>
    <w:p>
      <w:pPr>
        <w:pStyle w:val="ListParagraph"/>
        <w:numPr>
          <w:ilvl w:val="0"/>
          <w:numId w:val="2"/>
        </w:numPr>
      </w:pPr>
      <w:r>
        <w:t xml:space="preserve">Registo de incidentes.</w:t>
      </w:r>
    </w:p>
    <w:p>
      <w:pPr>
        <w:pStyle w:val="Heading1"/>
      </w:pPr>
      <w:r>
        <w:t xml:space="preserve">11. Revisão</w:t>
      </w:r>
    </w:p>
    <w:p>
      <w:pPr>
        <w:spacing w:after="120"/>
      </w:pPr>
      <w:r>
        <w:t xml:space="preserve">Esta política é revista no mínimo anualmente pelo CISO, ou sempre que ocorra alteração regulatória significativa, alteração do perfil de risco da organização, ou lição aprendida de incidente relevante. As alterações são aprovadas pela Direção.</w:t>
      </w:r>
    </w:p>
    <w:p>
      <w:pPr>
        <w:pStyle w:val="Heading1"/>
      </w:pPr>
      <w:r>
        <w:t xml:space="preserve">12. Aprovação</w:t>
      </w:r>
    </w:p>
    <w:p>
      <w:pPr>
        <w:spacing w:after="120"/>
      </w:pPr>
      <w:r>
        <w:t xml:space="preserve">Esta política entra em vigor na data de aprovação, sendo publicada na intranet de [Nome da organização] e distribuída a todos os colaboradores.</w:t>
      </w:r>
    </w:p>
    <w:p>
      <w:pPr>
        <w:spacing w:after="4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00"/>
        <w:gridCol w:w="2226"/>
      </w:tblGrid>
      <w:tr>
        <w:trPr>
          <w:tblHeader/>
        </w:trPr>
        <w:tc>
          <w:tcPr>
            <w:tcW w:type="dxa" w:w="24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Aprovado por</w:t>
            </w:r>
          </w:p>
        </w:tc>
        <w:tc>
          <w:tcPr>
            <w:tcW w:type="dxa" w:w="24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Cargo</w:t>
            </w:r>
          </w:p>
        </w:tc>
        <w:tc>
          <w:tcPr>
            <w:tcW w:type="dxa" w:w="2000"/>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Data</w:t>
            </w:r>
          </w:p>
        </w:tc>
        <w:tc>
          <w:tcPr>
            <w:tcW w:type="dxa" w:w="2226"/>
            <w:tcBorders>
              <w:top w:val="single" w:color="BBBBBB" w:sz="1"/>
              <w:left w:val="single" w:color="BBBBBB" w:sz="1"/>
              <w:bottom w:val="single" w:color="BBBBBB" w:sz="1"/>
              <w:right w:val="single" w:color="BBBBBB" w:sz="1"/>
            </w:tcBorders>
            <w:shd w:fill="2E75B6" w:color="auto" w:val="clear"/>
            <w:tcMar>
              <w:top w:type="dxa" w:w="80"/>
              <w:left w:type="dxa" w:w="120"/>
              <w:bottom w:type="dxa" w:w="80"/>
              <w:right w:type="dxa" w:w="120"/>
            </w:tcMar>
            <w:vAlign w:val="center"/>
          </w:tcPr>
          <w:p>
            <w:r>
              <w:t xml:space="preserve">Assinatura</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[Nome]</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[Cargo]</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abril de 2026</w:t>
            </w:r>
          </w:p>
        </w:tc>
        <w:tc>
          <w:tcPr>
            <w:tcW w:type="dxa" w:w="2226"/>
            <w:tcBorders>
              <w:top w:val="single" w:color="BBBBBB" w:sz="1"/>
              <w:left w:val="single" w:color="BBBBBB" w:sz="1"/>
              <w:bottom w:val="single" w:color="BBBBBB" w:sz="1"/>
              <w:right w:val="single" w:color="BBBBBB" w:sz="1"/>
            </w:tcBorders>
            <w:tcMar>
              <w:top w:type="dxa" w:w="80"/>
              <w:left w:type="dxa" w:w="120"/>
              <w:bottom w:type="dxa" w:w="80"/>
              <w:right w:type="dxa" w:w="120"/>
            </w:tcMar>
            <w:vAlign w:val="center"/>
          </w:tcPr>
          <w:p>
            <w:r>
              <w:t xml:space="preserve"/>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8"/>
        <w:szCs w:val="18"/>
      </w:rPr>
      <w:t xml:space="preserve">Classificação: Confidencial</w:t>
    </w:r>
    <w:r>
      <w:rPr>
        <w:color w:val="666666"/>
        <w:sz w:val="18"/>
        <w:szCs w:val="18"/>
      </w:rPr>
      <w:t xml:space="preserve">	Página </w:t>
    </w:r>
    <w:r>
      <w:rPr>
        <w:color w:val="666666"/>
        <w:sz w:val="18"/>
        <w:szCs w:val="18"/>
      </w:rPr>
      <w:fldChar w:fldCharType="begin"/>
      <w:instrText xml:space="preserve">PAGE</w:instrText>
      <w:fldChar w:fldCharType="separate"/>
      <w:fldChar w:fldCharType="end"/>
    </w:r>
    <w:r>
      <w:rPr>
        <w:color w:val="666666"/>
        <w:sz w:val="18"/>
        <w:szCs w:val="18"/>
      </w:rPr>
      <w:t xml:space="preserve"> de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right"/>
    </w:pPr>
    <w:r>
      <w:rPr>
        <w:color w:val="666666"/>
        <w:sz w:val="18"/>
        <w:szCs w:val="18"/>
      </w:rPr>
      <w:t xml:space="preserve">[Nome da organização] — Política de Gestão de Incidentes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2026-04-23T09:29:52.754Z</dcterms:created>
  <dcterms:modified xsi:type="dcterms:W3CDTF">2026-04-23T09:29:52.759Z</dcterms:modified>
</cp:coreProperties>
</file>

<file path=docProps/custom.xml><?xml version="1.0" encoding="utf-8"?>
<Properties xmlns="http://schemas.openxmlformats.org/officeDocument/2006/custom-properties" xmlns:vt="http://schemas.openxmlformats.org/officeDocument/2006/docPropsVTypes"/>
</file>