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Serviços Académicos — Notas de atividade do ano letivo 2025/2026</w:t>
      </w:r>
    </w:p>
    <w:p>
      <w:r>
        <w:t>Documento interno de apoio à elaboração do relatório anual de atividades. Reúne, em texto, as principais realizações e constrangimentos do ano. Os números de execução estão nos ficheiros de Processos e de Atendimentos.</w:t>
      </w:r>
    </w:p>
    <w:p>
      <w:pPr>
        <w:pStyle w:val="Heading1"/>
      </w:pPr>
      <w:r>
        <w:t>Principais realizações</w:t>
      </w:r>
    </w:p>
    <w:p>
      <w:pPr>
        <w:pStyle w:val="ListBullet"/>
      </w:pPr>
      <w:r>
        <w:t>Entrada em produção do novo portal de requerimentos online em março de 2026, permitindo a submissão e o acompanhamento de pedidos sem deslocação ao balcão.</w:t>
      </w:r>
    </w:p>
    <w:p>
      <w:pPr>
        <w:pStyle w:val="ListBullet"/>
      </w:pPr>
      <w:r>
        <w:t>Conclusão da digitalização do arquivo corrente dos processos de estudante, com indexação pesquisável.</w:t>
      </w:r>
    </w:p>
    <w:p>
      <w:pPr>
        <w:pStyle w:val="ListBullet"/>
      </w:pPr>
      <w:r>
        <w:t>Execução do plano de formação da equipa (média de 22 horas por colaborador), com foco em atendimento e ferramentas digitais.</w:t>
      </w:r>
    </w:p>
    <w:p>
      <w:pPr>
        <w:pStyle w:val="ListBullet"/>
      </w:pPr>
      <w:r>
        <w:t>Participação no projeto interinstitucional de partilha de boas práticas em serviços académicos (3 universidades).</w:t>
      </w:r>
    </w:p>
    <w:p>
      <w:pPr>
        <w:pStyle w:val="ListBullet"/>
      </w:pPr>
      <w:r>
        <w:t>Revisão e simplificação dos formulários de regimes especiais, reduzindo os campos pedidos.</w:t>
      </w:r>
    </w:p>
    <w:p>
      <w:pPr>
        <w:pStyle w:val="Heading1"/>
      </w:pPr>
      <w:r>
        <w:t>Constrangimentos</w:t>
      </w:r>
    </w:p>
    <w:p>
      <w:pPr>
        <w:pStyle w:val="ListBullet"/>
      </w:pPr>
      <w:r>
        <w:t>Pico de matrículas e inscrições em setembro e outubro acima do previsto, com sobrecarga da equipa.</w:t>
      </w:r>
    </w:p>
    <w:p>
      <w:pPr>
        <w:pStyle w:val="ListBullet"/>
      </w:pPr>
      <w:r>
        <w:t>Saída de dois técnicos no 1.º semestre, não substituídos atempadamente.</w:t>
      </w:r>
    </w:p>
    <w:p>
      <w:pPr>
        <w:pStyle w:val="ListBullet"/>
      </w:pPr>
      <w:r>
        <w:t>Agravamento do prazo médio de conclusão de processos no período de pico.</w:t>
      </w:r>
    </w:p>
    <w:p>
      <w:pPr>
        <w:pStyle w:val="ListBullet"/>
      </w:pPr>
      <w:r>
        <w:t>Descida da satisfação no atendimento telefónico, o canal com mais tempo de espera.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