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 2025/2026 — Serviços Académicos (SIADAP 1)</w:t>
      </w:r>
    </w:p>
    <w:p>
      <w:r>
        <w:t>Quadro de Avaliação e Responsabilização do serviço. Define os objetivos, indicadores e metas do ano. O grau de cumprimento apura-se com os dados de execução (ficheiros de Processos e Atendimentos).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Parâmetro</w:t>
            </w:r>
          </w:p>
        </w:tc>
        <w:tc>
          <w:tcPr>
            <w:tcW w:type="dxa" w:w="1728"/>
          </w:tcPr>
          <w:p>
            <w:r>
              <w:t>Objetivo</w:t>
            </w:r>
          </w:p>
        </w:tc>
        <w:tc>
          <w:tcPr>
            <w:tcW w:type="dxa" w:w="1728"/>
          </w:tcPr>
          <w:p>
            <w:r>
              <w:t>Indicador</w:t>
            </w:r>
          </w:p>
        </w:tc>
        <w:tc>
          <w:tcPr>
            <w:tcW w:type="dxa" w:w="1728"/>
          </w:tcPr>
          <w:p>
            <w:r>
              <w:t>Meta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</w:tr>
      <w:tr>
        <w:tc>
          <w:tcPr>
            <w:tcW w:type="dxa" w:w="1728"/>
          </w:tcPr>
          <w:p>
            <w:r>
              <w:t>Eficácia</w:t>
            </w:r>
          </w:p>
        </w:tc>
        <w:tc>
          <w:tcPr>
            <w:tcW w:type="dxa" w:w="1728"/>
          </w:tcPr>
          <w:p>
            <w:r>
              <w:t>Assegurar a conclusão tempestiva dos processos</w:t>
            </w:r>
          </w:p>
        </w:tc>
        <w:tc>
          <w:tcPr>
            <w:tcW w:type="dxa" w:w="1728"/>
          </w:tcPr>
          <w:p>
            <w:r>
              <w:t>Taxa de conclusão de processos no ano</w:t>
            </w:r>
          </w:p>
        </w:tc>
        <w:tc>
          <w:tcPr>
            <w:tcW w:type="dxa" w:w="1728"/>
          </w:tcPr>
          <w:p>
            <w:r>
              <w:t>≥ 92%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Eficácia</w:t>
            </w:r>
          </w:p>
        </w:tc>
        <w:tc>
          <w:tcPr>
            <w:tcW w:type="dxa" w:w="1728"/>
          </w:tcPr>
          <w:p>
            <w:r>
              <w:t>Acelerar a emissão de certidões</w:t>
            </w:r>
          </w:p>
        </w:tc>
        <w:tc>
          <w:tcPr>
            <w:tcW w:type="dxa" w:w="1728"/>
          </w:tcPr>
          <w:p>
            <w:r>
              <w:t>Prazo médio de emissão de certidões</w:t>
            </w:r>
          </w:p>
        </w:tc>
        <w:tc>
          <w:tcPr>
            <w:tcW w:type="dxa" w:w="1728"/>
          </w:tcPr>
          <w:p>
            <w:r>
              <w:t>≤ 5 dias úteis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Eficiência</w:t>
            </w:r>
          </w:p>
        </w:tc>
        <w:tc>
          <w:tcPr>
            <w:tcW w:type="dxa" w:w="1728"/>
          </w:tcPr>
          <w:p>
            <w:r>
              <w:t>Melhorar o prazo de resposta global</w:t>
            </w:r>
          </w:p>
        </w:tc>
        <w:tc>
          <w:tcPr>
            <w:tcW w:type="dxa" w:w="1728"/>
          </w:tcPr>
          <w:p>
            <w:r>
              <w:t>Prazo médio de conclusão de processos</w:t>
            </w:r>
          </w:p>
        </w:tc>
        <w:tc>
          <w:tcPr>
            <w:tcW w:type="dxa" w:w="1728"/>
          </w:tcPr>
          <w:p>
            <w:r>
              <w:t>≤ 12 dias úteis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Garantir a satisfação dos utentes</w:t>
            </w:r>
          </w:p>
        </w:tc>
        <w:tc>
          <w:tcPr>
            <w:tcW w:type="dxa" w:w="1728"/>
          </w:tcPr>
          <w:p>
            <w:r>
              <w:t>Satisfação média no atendimento (escala 1-5)</w:t>
            </w:r>
          </w:p>
        </w:tc>
        <w:tc>
          <w:tcPr>
            <w:tcW w:type="dxa" w:w="1728"/>
          </w:tcPr>
          <w:p>
            <w:r>
              <w:t>≥ 4,0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Promover os canais digitais</w:t>
            </w:r>
          </w:p>
        </w:tc>
        <w:tc>
          <w:tcPr>
            <w:tcW w:type="dxa" w:w="1728"/>
          </w:tcPr>
          <w:p>
            <w:r>
              <w:t>% de atendimentos por canais digitais (portal + e-mail)</w:t>
            </w:r>
          </w:p>
        </w:tc>
        <w:tc>
          <w:tcPr>
            <w:tcW w:type="dxa" w:w="1728"/>
          </w:tcPr>
          <w:p>
            <w:r>
              <w:t>≥ 60%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