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Objetivos do dirigente 2025/2026 — Diretor dos Serviços Académicos (SIADAP 2)</w:t>
      </w:r>
    </w:p>
    <w:p>
      <w:r>
        <w:t>Objetivos fixados ao dirigente para o ciclo. O cumprimento apura-se com as notas de atividade e com os dados de execução.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Indicador / meta</w:t>
            </w:r>
          </w:p>
        </w:tc>
      </w:tr>
      <w:tr>
        <w:tc>
          <w:tcPr>
            <w:tcW w:type="dxa" w:w="4320"/>
          </w:tcPr>
          <w:p>
            <w:r>
              <w:t>Implementar o portal de requerimentos online</w:t>
            </w:r>
          </w:p>
        </w:tc>
        <w:tc>
          <w:tcPr>
            <w:tcW w:type="dxa" w:w="4320"/>
          </w:tcPr>
          <w:p>
            <w:r>
              <w:t>Portal em produção até março de 2026</w:t>
            </w:r>
          </w:p>
        </w:tc>
      </w:tr>
      <w:tr>
        <w:tc>
          <w:tcPr>
            <w:tcW w:type="dxa" w:w="4320"/>
          </w:tcPr>
          <w:p>
            <w:r>
              <w:t>Concluir a digitalização do arquivo corrente</w:t>
            </w:r>
          </w:p>
        </w:tc>
        <w:tc>
          <w:tcPr>
            <w:tcW w:type="dxa" w:w="4320"/>
          </w:tcPr>
          <w:p>
            <w:r>
              <w:t>100% do arquivo corrente digitalizado no ano</w:t>
            </w:r>
          </w:p>
        </w:tc>
      </w:tr>
      <w:tr>
        <w:tc>
          <w:tcPr>
            <w:tcW w:type="dxa" w:w="4320"/>
          </w:tcPr>
          <w:p>
            <w:r>
              <w:t>Executar o plano de formação da equipa</w:t>
            </w:r>
          </w:p>
        </w:tc>
        <w:tc>
          <w:tcPr>
            <w:tcW w:type="dxa" w:w="4320"/>
          </w:tcPr>
          <w:p>
            <w:r>
              <w:t>≥ 20 horas de formação por colaborador</w:t>
            </w:r>
          </w:p>
        </w:tc>
      </w:tr>
      <w:tr>
        <w:tc>
          <w:tcPr>
            <w:tcW w:type="dxa" w:w="4320"/>
          </w:tcPr>
          <w:p>
            <w:r>
              <w:t>Melhorar o prazo de resposta do serviço</w:t>
            </w:r>
          </w:p>
        </w:tc>
        <w:tc>
          <w:tcPr>
            <w:tcW w:type="dxa" w:w="4320"/>
          </w:tcPr>
          <w:p>
            <w:r>
              <w:t>Prazo médio de conclusão de processos ≤ 12 dias úteis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